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F7E5A" w14:textId="77777777" w:rsidR="005A7A0E" w:rsidRDefault="005A7A0E" w:rsidP="00AA6AFB">
      <w:pPr>
        <w:rPr>
          <w:b/>
          <w:szCs w:val="24"/>
          <w:u w:val="single"/>
        </w:rPr>
      </w:pPr>
    </w:p>
    <w:p w14:paraId="1F2F315E" w14:textId="77777777" w:rsidR="0036361F" w:rsidRPr="00D2605C" w:rsidRDefault="0036361F" w:rsidP="00AA6AFB">
      <w:pPr>
        <w:rPr>
          <w:b/>
          <w:szCs w:val="24"/>
          <w:u w:val="single"/>
        </w:rPr>
      </w:pPr>
      <w:r w:rsidRPr="00D2605C">
        <w:rPr>
          <w:b/>
          <w:szCs w:val="24"/>
          <w:u w:val="single"/>
        </w:rPr>
        <w:t>1.- Actividad de la empresa</w:t>
      </w:r>
    </w:p>
    <w:p w14:paraId="7085A17C" w14:textId="77777777" w:rsidR="0036361F" w:rsidRPr="008C50F0" w:rsidRDefault="0036361F" w:rsidP="00AA6AFB">
      <w:pPr>
        <w:jc w:val="both"/>
        <w:rPr>
          <w:szCs w:val="24"/>
        </w:rPr>
      </w:pPr>
    </w:p>
    <w:p w14:paraId="5191170B" w14:textId="77777777" w:rsidR="0053332A" w:rsidRDefault="0053332A" w:rsidP="0053332A">
      <w:pPr>
        <w:pStyle w:val="Bodycopy"/>
        <w:spacing w:before="0" w:line="240" w:lineRule="auto"/>
        <w:jc w:val="both"/>
        <w:rPr>
          <w:rFonts w:ascii="Times New Roman" w:hAnsi="Times New Roman" w:cs="Times New Roman"/>
          <w:color w:val="auto"/>
          <w:sz w:val="24"/>
          <w:szCs w:val="24"/>
          <w:lang w:val="es-ES"/>
        </w:rPr>
      </w:pPr>
      <w:r w:rsidRPr="008C50F0">
        <w:rPr>
          <w:rFonts w:ascii="Times New Roman" w:hAnsi="Times New Roman" w:cs="Times New Roman"/>
          <w:sz w:val="24"/>
          <w:szCs w:val="24"/>
          <w:lang w:val="es-ES"/>
        </w:rPr>
        <w:t xml:space="preserve">La Sociedad </w:t>
      </w:r>
      <w:r>
        <w:rPr>
          <w:rFonts w:ascii="Times New Roman" w:hAnsi="Times New Roman" w:cs="Times New Roman"/>
          <w:sz w:val="24"/>
          <w:szCs w:val="24"/>
          <w:lang w:val="es-ES"/>
        </w:rPr>
        <w:t>SHIP´S MASTER S.L.</w:t>
      </w:r>
      <w:r w:rsidRPr="008C50F0">
        <w:rPr>
          <w:rFonts w:ascii="Times New Roman" w:hAnsi="Times New Roman" w:cs="Times New Roman"/>
          <w:sz w:val="24"/>
          <w:szCs w:val="24"/>
          <w:lang w:val="es-ES"/>
        </w:rPr>
        <w:t>, es una sociedad constituida en España de conformidad con la Ley de Sociedades Anónimas. El objeto social de la empresa, de acuerdo con sus estatutos es</w:t>
      </w:r>
      <w:r>
        <w:rPr>
          <w:rFonts w:ascii="Times New Roman" w:hAnsi="Times New Roman" w:cs="Times New Roman"/>
          <w:sz w:val="24"/>
          <w:szCs w:val="24"/>
          <w:lang w:val="es-ES"/>
        </w:rPr>
        <w:t xml:space="preserve"> la explotación turística de apartamentos, así como de locales comerciales, alquiler, compra y venta de todo tipo de inmuebles, explotación de bares, cafeterías</w:t>
      </w:r>
      <w:r w:rsidRPr="008C50F0">
        <w:rPr>
          <w:rFonts w:ascii="Times New Roman" w:hAnsi="Times New Roman" w:cs="Times New Roman"/>
          <w:sz w:val="24"/>
          <w:szCs w:val="24"/>
          <w:lang w:val="es-ES"/>
        </w:rPr>
        <w:t>,</w:t>
      </w:r>
      <w:r>
        <w:rPr>
          <w:rFonts w:ascii="Times New Roman" w:hAnsi="Times New Roman" w:cs="Times New Roman"/>
          <w:sz w:val="24"/>
          <w:szCs w:val="24"/>
          <w:lang w:val="es-ES"/>
        </w:rPr>
        <w:t xml:space="preserve"> supermercados, recepciones, restaurantes, bazares, zonas recreativas, discotecas, centros de recreo, cambio de divisas y alquiler de coches, desarrollando la actividad principal de comercio al por menor de productos alimenticios, así como la de servicios de restauración de un tenedor, y la de bares de categoría especial. </w:t>
      </w:r>
      <w:r w:rsidRPr="008C50F0">
        <w:rPr>
          <w:rFonts w:ascii="Times New Roman" w:hAnsi="Times New Roman" w:cs="Times New Roman"/>
          <w:sz w:val="24"/>
          <w:szCs w:val="24"/>
          <w:lang w:val="es-ES"/>
        </w:rPr>
        <w:t xml:space="preserve"> Su domicilio </w:t>
      </w:r>
      <w:r w:rsidRPr="00022D39">
        <w:rPr>
          <w:rFonts w:ascii="Times New Roman" w:hAnsi="Times New Roman" w:cs="Times New Roman"/>
          <w:color w:val="auto"/>
          <w:sz w:val="24"/>
          <w:szCs w:val="24"/>
          <w:lang w:val="es-ES"/>
        </w:rPr>
        <w:t xml:space="preserve">social se encuentra en </w:t>
      </w:r>
      <w:r w:rsidR="00022D39" w:rsidRPr="00022D39">
        <w:rPr>
          <w:rFonts w:ascii="Times New Roman" w:hAnsi="Times New Roman" w:cs="Times New Roman"/>
          <w:color w:val="auto"/>
          <w:sz w:val="24"/>
          <w:szCs w:val="24"/>
          <w:lang w:val="es-ES"/>
        </w:rPr>
        <w:t xml:space="preserve">C/ Timanfaya, Aptos Colina Mar, 4, </w:t>
      </w:r>
      <w:r w:rsidR="00022D39">
        <w:rPr>
          <w:rFonts w:ascii="Times New Roman" w:hAnsi="Times New Roman" w:cs="Times New Roman"/>
          <w:color w:val="auto"/>
          <w:sz w:val="24"/>
          <w:szCs w:val="24"/>
          <w:lang w:val="es-ES"/>
        </w:rPr>
        <w:t xml:space="preserve">CP. </w:t>
      </w:r>
      <w:r w:rsidR="00022D39" w:rsidRPr="00022D39">
        <w:rPr>
          <w:rFonts w:ascii="Times New Roman" w:hAnsi="Times New Roman" w:cs="Times New Roman"/>
          <w:color w:val="auto"/>
          <w:sz w:val="24"/>
          <w:szCs w:val="24"/>
          <w:lang w:val="es-ES"/>
        </w:rPr>
        <w:t>35130, Mogán.</w:t>
      </w:r>
    </w:p>
    <w:p w14:paraId="462DEAB8" w14:textId="77777777" w:rsidR="005A7A0E" w:rsidRDefault="005A7A0E" w:rsidP="00AA6AFB">
      <w:pPr>
        <w:rPr>
          <w:rFonts w:eastAsia="PMingLiU"/>
          <w:szCs w:val="24"/>
        </w:rPr>
      </w:pPr>
    </w:p>
    <w:p w14:paraId="6A9279FF" w14:textId="77777777" w:rsidR="005A7A0E" w:rsidRDefault="005A7A0E" w:rsidP="00AA6AFB">
      <w:pPr>
        <w:rPr>
          <w:rFonts w:eastAsia="PMingLiU"/>
          <w:szCs w:val="24"/>
        </w:rPr>
      </w:pPr>
    </w:p>
    <w:p w14:paraId="105F0DB9" w14:textId="77777777" w:rsidR="0036361F" w:rsidRPr="00D2605C" w:rsidRDefault="0036361F" w:rsidP="00AA6AFB">
      <w:pPr>
        <w:rPr>
          <w:b/>
          <w:szCs w:val="24"/>
          <w:u w:val="single"/>
        </w:rPr>
      </w:pPr>
      <w:r w:rsidRPr="00D2605C">
        <w:rPr>
          <w:b/>
          <w:szCs w:val="24"/>
          <w:u w:val="single"/>
        </w:rPr>
        <w:t>2.- Bases de presentación de las cuentas anuales</w:t>
      </w:r>
    </w:p>
    <w:p w14:paraId="299E1CC5" w14:textId="77777777" w:rsidR="0036361F" w:rsidRPr="008C50F0" w:rsidRDefault="0036361F" w:rsidP="00AA6AFB">
      <w:pPr>
        <w:jc w:val="both"/>
        <w:rPr>
          <w:szCs w:val="24"/>
        </w:rPr>
      </w:pPr>
    </w:p>
    <w:p w14:paraId="31C26BA3" w14:textId="77777777" w:rsidR="0036361F" w:rsidRPr="008C50F0" w:rsidRDefault="0036361F" w:rsidP="00AA6AFB">
      <w:pPr>
        <w:numPr>
          <w:ilvl w:val="1"/>
          <w:numId w:val="1"/>
        </w:numPr>
        <w:jc w:val="both"/>
        <w:rPr>
          <w:b/>
          <w:i/>
          <w:szCs w:val="24"/>
        </w:rPr>
      </w:pPr>
      <w:r w:rsidRPr="008C50F0">
        <w:rPr>
          <w:b/>
          <w:i/>
          <w:szCs w:val="24"/>
        </w:rPr>
        <w:t>Imagen fiel</w:t>
      </w:r>
    </w:p>
    <w:p w14:paraId="0AA81D4A" w14:textId="77777777" w:rsidR="0036361F" w:rsidRPr="008C50F0" w:rsidRDefault="0036361F" w:rsidP="00AA6AFB">
      <w:pPr>
        <w:jc w:val="both"/>
        <w:rPr>
          <w:b/>
          <w:i/>
          <w:szCs w:val="24"/>
        </w:rPr>
      </w:pPr>
    </w:p>
    <w:p w14:paraId="6E7867E3" w14:textId="77777777" w:rsidR="000D294C" w:rsidRPr="008C50F0" w:rsidRDefault="0036361F" w:rsidP="00AA6AFB">
      <w:pPr>
        <w:pStyle w:val="Bodycopy"/>
        <w:spacing w:before="0" w:line="240" w:lineRule="auto"/>
        <w:jc w:val="both"/>
        <w:rPr>
          <w:rFonts w:ascii="Times New Roman" w:hAnsi="Times New Roman" w:cs="Times New Roman"/>
          <w:sz w:val="24"/>
          <w:szCs w:val="24"/>
          <w:lang w:val="es-ES"/>
        </w:rPr>
      </w:pPr>
      <w:r w:rsidRPr="008C50F0">
        <w:rPr>
          <w:rFonts w:ascii="Times New Roman" w:hAnsi="Times New Roman" w:cs="Times New Roman"/>
          <w:sz w:val="24"/>
          <w:szCs w:val="24"/>
          <w:lang w:val="es-ES"/>
        </w:rPr>
        <w:t xml:space="preserve">Las cuentas anuales adjuntas han sido obtenidas de los registros contables de la Sociedad y se presentan de acuerdo con el R.D. 1514/2007 por el que se aprueba el Plan General de Contabilidad, de forma que muestran la imagen fiel del patrimonio, de la situación financiera, de los resultados de la Sociedad y de los flujos de efectivo habidos durante el correspondiente ejercicio. </w:t>
      </w:r>
    </w:p>
    <w:p w14:paraId="1C365EA9" w14:textId="77777777" w:rsidR="000D294C" w:rsidRPr="008C50F0" w:rsidRDefault="000D294C" w:rsidP="00AA6AFB">
      <w:pPr>
        <w:pStyle w:val="Bodycopy"/>
        <w:spacing w:before="0" w:line="240" w:lineRule="auto"/>
        <w:jc w:val="both"/>
        <w:rPr>
          <w:rFonts w:ascii="Times New Roman" w:hAnsi="Times New Roman" w:cs="Times New Roman"/>
          <w:sz w:val="24"/>
          <w:szCs w:val="24"/>
          <w:lang w:val="es-ES"/>
        </w:rPr>
      </w:pPr>
    </w:p>
    <w:p w14:paraId="6CDA4226" w14:textId="77777777" w:rsidR="0036361F" w:rsidRPr="008C50F0" w:rsidRDefault="0036361F" w:rsidP="00AA6AFB">
      <w:pPr>
        <w:pStyle w:val="Bodycopy"/>
        <w:spacing w:before="0" w:line="240" w:lineRule="auto"/>
        <w:jc w:val="both"/>
        <w:rPr>
          <w:rFonts w:ascii="Times New Roman" w:hAnsi="Times New Roman" w:cs="Times New Roman"/>
          <w:sz w:val="24"/>
          <w:szCs w:val="24"/>
          <w:lang w:val="es-ES"/>
        </w:rPr>
      </w:pPr>
      <w:r w:rsidRPr="008C50F0">
        <w:rPr>
          <w:rFonts w:ascii="Times New Roman" w:hAnsi="Times New Roman" w:cs="Times New Roman"/>
          <w:sz w:val="24"/>
          <w:szCs w:val="24"/>
          <w:lang w:val="es-ES"/>
        </w:rPr>
        <w:t xml:space="preserve">Estas cuentas anuales, que han sido formuladas por los Administradores de la Sociedad, se someterán a la aprobación por la Junta General Ordinaria de Accionistas, estimándose que serán aprobadas sin modificación alguna. </w:t>
      </w:r>
    </w:p>
    <w:p w14:paraId="0C2893F5" w14:textId="77777777" w:rsidR="0036361F" w:rsidRPr="008C50F0" w:rsidRDefault="0036361F" w:rsidP="00AA6AFB">
      <w:pPr>
        <w:jc w:val="both"/>
        <w:rPr>
          <w:szCs w:val="24"/>
        </w:rPr>
      </w:pPr>
    </w:p>
    <w:p w14:paraId="0BC0E411" w14:textId="77777777" w:rsidR="0036361F" w:rsidRPr="008C50F0" w:rsidRDefault="0036361F" w:rsidP="00AA6AFB">
      <w:pPr>
        <w:numPr>
          <w:ilvl w:val="1"/>
          <w:numId w:val="1"/>
        </w:numPr>
        <w:jc w:val="both"/>
        <w:rPr>
          <w:b/>
          <w:i/>
          <w:szCs w:val="24"/>
        </w:rPr>
      </w:pPr>
      <w:r w:rsidRPr="008C50F0">
        <w:rPr>
          <w:b/>
          <w:i/>
          <w:szCs w:val="24"/>
        </w:rPr>
        <w:t>Principios contables no obligatorios aplicados</w:t>
      </w:r>
    </w:p>
    <w:p w14:paraId="01FA0D49" w14:textId="77777777" w:rsidR="0036361F" w:rsidRPr="008C50F0" w:rsidRDefault="0036361F" w:rsidP="00AA6AFB">
      <w:pPr>
        <w:jc w:val="both"/>
        <w:rPr>
          <w:b/>
          <w:i/>
          <w:szCs w:val="24"/>
        </w:rPr>
      </w:pPr>
    </w:p>
    <w:p w14:paraId="70DC6A54" w14:textId="77777777" w:rsidR="0036361F" w:rsidRPr="008C50F0" w:rsidRDefault="0036361F" w:rsidP="00AA6AFB">
      <w:pPr>
        <w:jc w:val="both"/>
        <w:rPr>
          <w:szCs w:val="24"/>
        </w:rPr>
      </w:pPr>
      <w:r w:rsidRPr="008C50F0">
        <w:rPr>
          <w:szCs w:val="24"/>
        </w:rPr>
        <w:t>No se han aplicado principios contables no obligatorios. Adicionalmente, los Administradores han formulado estas cuentas anuales teniendo en consideración la totalidad de los principios y normas contables de aplicación obligatoria que tienen un efecto significativo en dichas cuentas anuales. No existe ningún principio contable que</w:t>
      </w:r>
      <w:r w:rsidR="00513FA4">
        <w:rPr>
          <w:szCs w:val="24"/>
        </w:rPr>
        <w:t>,</w:t>
      </w:r>
      <w:r w:rsidRPr="008C50F0">
        <w:rPr>
          <w:szCs w:val="24"/>
        </w:rPr>
        <w:t xml:space="preserve"> siendo obligatorio, haya dejado de aplicarse.</w:t>
      </w:r>
    </w:p>
    <w:p w14:paraId="52E81D4A" w14:textId="77777777" w:rsidR="0036361F" w:rsidRPr="008C50F0" w:rsidRDefault="0036361F" w:rsidP="00AA6AFB">
      <w:pPr>
        <w:jc w:val="both"/>
        <w:rPr>
          <w:szCs w:val="24"/>
        </w:rPr>
      </w:pPr>
    </w:p>
    <w:p w14:paraId="2DB88BB5" w14:textId="77777777" w:rsidR="0036361F" w:rsidRPr="008C50F0" w:rsidRDefault="0036361F" w:rsidP="00AA6AFB">
      <w:pPr>
        <w:numPr>
          <w:ilvl w:val="1"/>
          <w:numId w:val="1"/>
        </w:numPr>
        <w:jc w:val="both"/>
        <w:rPr>
          <w:b/>
          <w:i/>
          <w:szCs w:val="24"/>
        </w:rPr>
      </w:pPr>
      <w:r w:rsidRPr="008C50F0">
        <w:rPr>
          <w:b/>
          <w:i/>
          <w:szCs w:val="24"/>
        </w:rPr>
        <w:t>Aspectos críticos de la valoración y estimación de la incertidumbre</w:t>
      </w:r>
    </w:p>
    <w:p w14:paraId="1BD460D8" w14:textId="77777777" w:rsidR="000D294C" w:rsidRPr="008C50F0" w:rsidRDefault="000D294C" w:rsidP="00AA6AFB">
      <w:pPr>
        <w:jc w:val="both"/>
        <w:rPr>
          <w:b/>
          <w:i/>
          <w:szCs w:val="24"/>
        </w:rPr>
      </w:pPr>
    </w:p>
    <w:p w14:paraId="3D93F9E3" w14:textId="33D9A69E" w:rsidR="000D294C" w:rsidRPr="008C50F0" w:rsidRDefault="000D294C" w:rsidP="00AA6AFB">
      <w:pPr>
        <w:jc w:val="both"/>
        <w:rPr>
          <w:iCs/>
          <w:szCs w:val="24"/>
        </w:rPr>
      </w:pPr>
      <w:r w:rsidRPr="008C50F0">
        <w:rPr>
          <w:iCs/>
          <w:szCs w:val="24"/>
        </w:rPr>
        <w:t>En la ela</w:t>
      </w:r>
      <w:r w:rsidR="002D63D4">
        <w:rPr>
          <w:iCs/>
          <w:szCs w:val="24"/>
        </w:rPr>
        <w:t>boración de las cuentas anuales de pymes</w:t>
      </w:r>
      <w:r w:rsidRPr="008C50F0">
        <w:rPr>
          <w:iCs/>
          <w:szCs w:val="24"/>
        </w:rPr>
        <w:t xml:space="preserve"> del ejercicio </w:t>
      </w:r>
      <w:r w:rsidR="00513FA4">
        <w:rPr>
          <w:iCs/>
          <w:szCs w:val="24"/>
        </w:rPr>
        <w:t>20</w:t>
      </w:r>
      <w:r w:rsidR="00CA721D">
        <w:rPr>
          <w:iCs/>
          <w:szCs w:val="24"/>
        </w:rPr>
        <w:t>20</w:t>
      </w:r>
      <w:r w:rsidRPr="008C50F0">
        <w:rPr>
          <w:iCs/>
          <w:szCs w:val="24"/>
        </w:rPr>
        <w:t xml:space="preserve"> adjuntas no ha sido necesario utilizar, por parte de los Administradores de la Sociedad, estimaciones para la valoración de activos, pasivos, ingresos y gastos.</w:t>
      </w:r>
    </w:p>
    <w:p w14:paraId="70E654E0" w14:textId="77777777" w:rsidR="00C92FAD" w:rsidRDefault="00C92FAD" w:rsidP="00AA6AFB">
      <w:pPr>
        <w:jc w:val="both"/>
        <w:rPr>
          <w:szCs w:val="24"/>
        </w:rPr>
      </w:pPr>
    </w:p>
    <w:p w14:paraId="4F53064B" w14:textId="77777777" w:rsidR="00B80DC3" w:rsidRDefault="00B80DC3" w:rsidP="00AA6AFB">
      <w:pPr>
        <w:jc w:val="both"/>
        <w:rPr>
          <w:szCs w:val="24"/>
        </w:rPr>
      </w:pPr>
    </w:p>
    <w:p w14:paraId="3F253AE5" w14:textId="77777777" w:rsidR="00803E10" w:rsidRPr="004A6854" w:rsidRDefault="00803E10" w:rsidP="00AA6AFB">
      <w:pPr>
        <w:jc w:val="both"/>
        <w:rPr>
          <w:szCs w:val="24"/>
        </w:rPr>
      </w:pPr>
    </w:p>
    <w:p w14:paraId="12514041" w14:textId="77777777" w:rsidR="0036361F" w:rsidRPr="00CE6FCC" w:rsidRDefault="005F72D0" w:rsidP="00AA6AFB">
      <w:pPr>
        <w:numPr>
          <w:ilvl w:val="1"/>
          <w:numId w:val="1"/>
        </w:numPr>
        <w:jc w:val="both"/>
        <w:rPr>
          <w:iCs/>
          <w:szCs w:val="24"/>
        </w:rPr>
      </w:pPr>
      <w:r w:rsidRPr="00CE6FCC">
        <w:rPr>
          <w:b/>
          <w:i/>
          <w:szCs w:val="24"/>
        </w:rPr>
        <w:t>Comparación de la información</w:t>
      </w:r>
      <w:r w:rsidRPr="00CE6FCC">
        <w:rPr>
          <w:b/>
          <w:i/>
          <w:sz w:val="22"/>
        </w:rPr>
        <w:t xml:space="preserve">  </w:t>
      </w:r>
    </w:p>
    <w:p w14:paraId="521AC804" w14:textId="77777777" w:rsidR="00C92FAD" w:rsidRDefault="00C92FAD" w:rsidP="00C97D59">
      <w:pPr>
        <w:pStyle w:val="Bodycopy"/>
        <w:spacing w:before="0" w:line="240" w:lineRule="auto"/>
        <w:jc w:val="both"/>
        <w:rPr>
          <w:rFonts w:ascii="Times New Roman" w:hAnsi="Times New Roman" w:cs="Times New Roman"/>
          <w:iCs/>
          <w:color w:val="auto"/>
          <w:sz w:val="24"/>
          <w:szCs w:val="24"/>
          <w:lang w:val="es-ES"/>
        </w:rPr>
      </w:pPr>
    </w:p>
    <w:p w14:paraId="68782974" w14:textId="6EB1AD71" w:rsidR="00C92FAD" w:rsidRPr="00271AB3" w:rsidRDefault="0036361F" w:rsidP="00C97D59">
      <w:pPr>
        <w:pStyle w:val="Bodycopy"/>
        <w:spacing w:before="0" w:line="240" w:lineRule="auto"/>
        <w:jc w:val="both"/>
        <w:rPr>
          <w:rFonts w:ascii="Times New Roman" w:hAnsi="Times New Roman" w:cs="Times New Roman"/>
          <w:iCs/>
          <w:color w:val="auto"/>
          <w:sz w:val="24"/>
          <w:szCs w:val="24"/>
          <w:lang w:val="es-ES"/>
        </w:rPr>
      </w:pPr>
      <w:r w:rsidRPr="008C50F0">
        <w:rPr>
          <w:rFonts w:ascii="Times New Roman" w:hAnsi="Times New Roman" w:cs="Times New Roman"/>
          <w:iCs/>
          <w:color w:val="auto"/>
          <w:sz w:val="24"/>
          <w:szCs w:val="24"/>
          <w:lang w:val="es-ES"/>
        </w:rPr>
        <w:t>La información contenida en esta memo</w:t>
      </w:r>
      <w:r w:rsidR="00CD6AB8">
        <w:rPr>
          <w:rFonts w:ascii="Times New Roman" w:hAnsi="Times New Roman" w:cs="Times New Roman"/>
          <w:iCs/>
          <w:color w:val="auto"/>
          <w:sz w:val="24"/>
          <w:szCs w:val="24"/>
          <w:lang w:val="es-ES"/>
        </w:rPr>
        <w:t>ria referida al ejercicio 201</w:t>
      </w:r>
      <w:r w:rsidR="00CA721D">
        <w:rPr>
          <w:rFonts w:ascii="Times New Roman" w:hAnsi="Times New Roman" w:cs="Times New Roman"/>
          <w:iCs/>
          <w:color w:val="auto"/>
          <w:sz w:val="24"/>
          <w:szCs w:val="24"/>
          <w:lang w:val="es-ES"/>
        </w:rPr>
        <w:t>9</w:t>
      </w:r>
      <w:r w:rsidRPr="008C50F0">
        <w:rPr>
          <w:rFonts w:ascii="Times New Roman" w:hAnsi="Times New Roman" w:cs="Times New Roman"/>
          <w:iCs/>
          <w:color w:val="auto"/>
          <w:sz w:val="24"/>
          <w:szCs w:val="24"/>
          <w:lang w:val="es-ES"/>
        </w:rPr>
        <w:t xml:space="preserve"> se presenta, a efectos comparativos con l</w:t>
      </w:r>
      <w:r w:rsidR="002233C7">
        <w:rPr>
          <w:rFonts w:ascii="Times New Roman" w:hAnsi="Times New Roman" w:cs="Times New Roman"/>
          <w:iCs/>
          <w:color w:val="auto"/>
          <w:sz w:val="24"/>
          <w:szCs w:val="24"/>
          <w:lang w:val="es-ES"/>
        </w:rPr>
        <w:t>a información del ejercicio 20</w:t>
      </w:r>
      <w:r w:rsidR="00CA721D">
        <w:rPr>
          <w:rFonts w:ascii="Times New Roman" w:hAnsi="Times New Roman" w:cs="Times New Roman"/>
          <w:iCs/>
          <w:color w:val="auto"/>
          <w:sz w:val="24"/>
          <w:szCs w:val="24"/>
          <w:lang w:val="es-ES"/>
        </w:rPr>
        <w:t>20</w:t>
      </w:r>
      <w:r w:rsidRPr="008C50F0">
        <w:rPr>
          <w:rFonts w:ascii="Times New Roman" w:hAnsi="Times New Roman" w:cs="Times New Roman"/>
          <w:iCs/>
          <w:color w:val="auto"/>
          <w:sz w:val="24"/>
          <w:szCs w:val="24"/>
          <w:lang w:val="es-ES"/>
        </w:rPr>
        <w:t>.</w:t>
      </w:r>
      <w:r w:rsidRPr="00C97D59">
        <w:rPr>
          <w:sz w:val="22"/>
          <w:lang w:val="es-ES"/>
        </w:rPr>
        <w:t xml:space="preserve">  </w:t>
      </w:r>
    </w:p>
    <w:p w14:paraId="64DB2579" w14:textId="77777777" w:rsidR="00B875EA" w:rsidRPr="00C92FAD" w:rsidRDefault="0036361F" w:rsidP="00C97D59">
      <w:pPr>
        <w:pStyle w:val="Bodycopy"/>
        <w:spacing w:before="0" w:line="240" w:lineRule="auto"/>
        <w:jc w:val="both"/>
        <w:rPr>
          <w:rFonts w:ascii="Times New Roman" w:hAnsi="Times New Roman" w:cs="Times New Roman"/>
          <w:iCs/>
          <w:color w:val="auto"/>
          <w:sz w:val="24"/>
          <w:szCs w:val="24"/>
          <w:lang w:val="es-ES"/>
        </w:rPr>
      </w:pPr>
      <w:r w:rsidRPr="00C97D59">
        <w:rPr>
          <w:sz w:val="22"/>
          <w:lang w:val="es-ES"/>
        </w:rPr>
        <w:t xml:space="preserve">          </w:t>
      </w:r>
    </w:p>
    <w:p w14:paraId="46398719" w14:textId="77777777" w:rsidR="0036361F" w:rsidRPr="00C92FAD" w:rsidRDefault="0036361F" w:rsidP="00C92FAD">
      <w:pPr>
        <w:numPr>
          <w:ilvl w:val="1"/>
          <w:numId w:val="1"/>
        </w:numPr>
        <w:jc w:val="both"/>
        <w:rPr>
          <w:b/>
          <w:i/>
          <w:sz w:val="22"/>
        </w:rPr>
      </w:pPr>
      <w:r w:rsidRPr="00C92FAD">
        <w:rPr>
          <w:b/>
          <w:i/>
          <w:sz w:val="22"/>
        </w:rPr>
        <w:t>Elementos recogidos en varias partidas</w:t>
      </w:r>
      <w:r w:rsidR="00B875EA" w:rsidRPr="00C92FAD">
        <w:rPr>
          <w:b/>
          <w:i/>
          <w:sz w:val="22"/>
        </w:rPr>
        <w:t xml:space="preserve"> </w:t>
      </w:r>
    </w:p>
    <w:p w14:paraId="28009264" w14:textId="77777777" w:rsidR="0036361F" w:rsidRDefault="0036361F" w:rsidP="00AA6AFB">
      <w:pPr>
        <w:jc w:val="both"/>
      </w:pPr>
    </w:p>
    <w:p w14:paraId="38FCC4AB" w14:textId="77777777" w:rsidR="00CE6FCC" w:rsidRPr="008C50F0" w:rsidRDefault="00CE6FCC" w:rsidP="00AA6AFB">
      <w:pPr>
        <w:jc w:val="both"/>
      </w:pPr>
      <w:r>
        <w:t>No existen elementos que figuren recogidos en varias partidas.</w:t>
      </w:r>
    </w:p>
    <w:p w14:paraId="5411B2C1" w14:textId="77777777" w:rsidR="0036361F" w:rsidRPr="008C50F0" w:rsidRDefault="0036361F" w:rsidP="00AA6AFB">
      <w:pPr>
        <w:pStyle w:val="Bodycopy"/>
        <w:spacing w:before="0" w:line="240" w:lineRule="auto"/>
        <w:jc w:val="both"/>
        <w:rPr>
          <w:rFonts w:ascii="Times New Roman" w:hAnsi="Times New Roman" w:cs="Times New Roman"/>
          <w:i/>
          <w:iCs/>
          <w:color w:val="FF0000"/>
          <w:sz w:val="24"/>
          <w:szCs w:val="24"/>
          <w:lang w:val="es-ES"/>
        </w:rPr>
      </w:pPr>
    </w:p>
    <w:p w14:paraId="46037FC3" w14:textId="77777777" w:rsidR="0036361F" w:rsidRPr="008C50F0" w:rsidRDefault="0036361F" w:rsidP="00AA6AFB">
      <w:pPr>
        <w:numPr>
          <w:ilvl w:val="1"/>
          <w:numId w:val="1"/>
        </w:numPr>
        <w:jc w:val="both"/>
        <w:rPr>
          <w:b/>
          <w:i/>
          <w:szCs w:val="24"/>
        </w:rPr>
      </w:pPr>
      <w:r w:rsidRPr="008C50F0">
        <w:rPr>
          <w:b/>
          <w:i/>
          <w:szCs w:val="24"/>
        </w:rPr>
        <w:t xml:space="preserve">Cambios en criterios contables </w:t>
      </w:r>
    </w:p>
    <w:p w14:paraId="0F493A07" w14:textId="77777777" w:rsidR="0036361F" w:rsidRPr="008C50F0" w:rsidRDefault="0036361F" w:rsidP="00AA6AFB">
      <w:pPr>
        <w:jc w:val="both"/>
        <w:rPr>
          <w:szCs w:val="24"/>
        </w:rPr>
      </w:pPr>
    </w:p>
    <w:p w14:paraId="0743DE63" w14:textId="3BB37081" w:rsidR="0036361F" w:rsidRPr="008C50F0" w:rsidRDefault="0036361F" w:rsidP="00AA6AFB">
      <w:pPr>
        <w:jc w:val="both"/>
        <w:rPr>
          <w:szCs w:val="24"/>
        </w:rPr>
      </w:pPr>
      <w:r w:rsidRPr="008C50F0">
        <w:rPr>
          <w:szCs w:val="24"/>
        </w:rPr>
        <w:t xml:space="preserve">Durante el ejercicio </w:t>
      </w:r>
      <w:r w:rsidR="002233C7">
        <w:rPr>
          <w:szCs w:val="24"/>
        </w:rPr>
        <w:t>20</w:t>
      </w:r>
      <w:r w:rsidR="00CA721D">
        <w:rPr>
          <w:szCs w:val="24"/>
        </w:rPr>
        <w:t>20</w:t>
      </w:r>
      <w:r w:rsidRPr="008C50F0">
        <w:rPr>
          <w:szCs w:val="24"/>
        </w:rPr>
        <w:t xml:space="preserve"> no se han producido cambios de criterios contables significativos respecto a los criterios a</w:t>
      </w:r>
      <w:r w:rsidR="00B875EA" w:rsidRPr="008C50F0">
        <w:rPr>
          <w:szCs w:val="24"/>
        </w:rPr>
        <w:t xml:space="preserve">plicados en el ejercicio </w:t>
      </w:r>
      <w:r w:rsidR="002233C7">
        <w:rPr>
          <w:szCs w:val="24"/>
        </w:rPr>
        <w:t>201</w:t>
      </w:r>
      <w:r w:rsidR="00CA721D">
        <w:rPr>
          <w:szCs w:val="24"/>
        </w:rPr>
        <w:t>9</w:t>
      </w:r>
      <w:r w:rsidR="00CE6FCC">
        <w:rPr>
          <w:szCs w:val="24"/>
        </w:rPr>
        <w:t>.</w:t>
      </w:r>
    </w:p>
    <w:p w14:paraId="51B72626" w14:textId="77777777" w:rsidR="0036361F" w:rsidRPr="008C50F0" w:rsidRDefault="0036361F" w:rsidP="00AA6AFB">
      <w:pPr>
        <w:jc w:val="both"/>
        <w:rPr>
          <w:szCs w:val="24"/>
        </w:rPr>
      </w:pPr>
    </w:p>
    <w:p w14:paraId="7A3F63C1" w14:textId="77777777" w:rsidR="0036361F" w:rsidRPr="008C50F0" w:rsidRDefault="0036361F" w:rsidP="00AA6AFB">
      <w:pPr>
        <w:numPr>
          <w:ilvl w:val="1"/>
          <w:numId w:val="1"/>
        </w:numPr>
        <w:jc w:val="both"/>
        <w:rPr>
          <w:b/>
          <w:i/>
          <w:szCs w:val="24"/>
        </w:rPr>
      </w:pPr>
      <w:r w:rsidRPr="008C50F0">
        <w:rPr>
          <w:b/>
          <w:i/>
          <w:szCs w:val="24"/>
        </w:rPr>
        <w:t xml:space="preserve">Corrección de errores </w:t>
      </w:r>
    </w:p>
    <w:p w14:paraId="6CE2EF27" w14:textId="77777777" w:rsidR="0036361F" w:rsidRPr="008C50F0" w:rsidRDefault="0036361F" w:rsidP="00AA6AFB">
      <w:pPr>
        <w:jc w:val="both"/>
        <w:rPr>
          <w:szCs w:val="24"/>
        </w:rPr>
      </w:pPr>
    </w:p>
    <w:p w14:paraId="58FD97BD" w14:textId="6E1D35CC" w:rsidR="0036361F" w:rsidRPr="005128D9" w:rsidRDefault="0036361F" w:rsidP="00AA6AFB">
      <w:pPr>
        <w:jc w:val="both"/>
        <w:rPr>
          <w:szCs w:val="24"/>
        </w:rPr>
      </w:pPr>
      <w:r w:rsidRPr="005128D9">
        <w:rPr>
          <w:szCs w:val="24"/>
        </w:rPr>
        <w:t xml:space="preserve">En la elaboración de las cuentas anuales adjuntas no se ha detectado ningún error significativo que haya supuesto la </w:t>
      </w:r>
      <w:proofErr w:type="spellStart"/>
      <w:r w:rsidRPr="005128D9">
        <w:rPr>
          <w:szCs w:val="24"/>
        </w:rPr>
        <w:t>reexpresión</w:t>
      </w:r>
      <w:proofErr w:type="spellEnd"/>
      <w:r w:rsidRPr="005128D9">
        <w:rPr>
          <w:szCs w:val="24"/>
        </w:rPr>
        <w:t xml:space="preserve"> de los importes incluidos en las cuentas anuales del ejercicio </w:t>
      </w:r>
      <w:r w:rsidR="00513FA4">
        <w:rPr>
          <w:szCs w:val="24"/>
        </w:rPr>
        <w:t>201</w:t>
      </w:r>
      <w:r w:rsidR="004A5AA8">
        <w:rPr>
          <w:szCs w:val="24"/>
        </w:rPr>
        <w:t>9</w:t>
      </w:r>
      <w:r w:rsidR="00E61581" w:rsidRPr="005128D9">
        <w:rPr>
          <w:szCs w:val="24"/>
        </w:rPr>
        <w:t>.</w:t>
      </w:r>
    </w:p>
    <w:p w14:paraId="13B30F25" w14:textId="77777777" w:rsidR="0036361F" w:rsidRDefault="0036361F" w:rsidP="00AA6AFB">
      <w:pPr>
        <w:rPr>
          <w:i/>
          <w:color w:val="FF0000"/>
          <w:szCs w:val="24"/>
        </w:rPr>
      </w:pPr>
    </w:p>
    <w:p w14:paraId="5758BDFB" w14:textId="77777777" w:rsidR="00803E10" w:rsidRPr="008C50F0" w:rsidRDefault="00803E10" w:rsidP="00AA6AFB">
      <w:pPr>
        <w:rPr>
          <w:i/>
          <w:color w:val="FF0000"/>
          <w:szCs w:val="24"/>
        </w:rPr>
      </w:pPr>
    </w:p>
    <w:p w14:paraId="027D213A" w14:textId="77777777" w:rsidR="00A81FBE" w:rsidRPr="00CE6FCC" w:rsidRDefault="0036361F" w:rsidP="00CE6FCC">
      <w:pPr>
        <w:rPr>
          <w:b/>
          <w:szCs w:val="24"/>
          <w:u w:val="single"/>
        </w:rPr>
      </w:pPr>
      <w:r w:rsidRPr="00D2605C">
        <w:rPr>
          <w:b/>
          <w:szCs w:val="24"/>
          <w:u w:val="single"/>
        </w:rPr>
        <w:t>3.- Aplicación del resultado</w:t>
      </w:r>
      <w:r w:rsidR="00A640EC">
        <w:rPr>
          <w:b/>
          <w:szCs w:val="24"/>
          <w:u w:val="single"/>
        </w:rPr>
        <w:t xml:space="preserve">  </w:t>
      </w:r>
    </w:p>
    <w:p w14:paraId="157055C9" w14:textId="77777777" w:rsidR="00CE6FCC" w:rsidRPr="00AD596B" w:rsidRDefault="00CE6FCC" w:rsidP="00CE6FCC">
      <w:pPr>
        <w:jc w:val="both"/>
        <w:rPr>
          <w:szCs w:val="24"/>
        </w:rPr>
      </w:pPr>
    </w:p>
    <w:p w14:paraId="63C0E858" w14:textId="7529E9C4" w:rsidR="00FC577F" w:rsidRPr="009F28DD" w:rsidRDefault="00CE6FCC" w:rsidP="009F28DD">
      <w:pPr>
        <w:jc w:val="both"/>
      </w:pPr>
      <w:r w:rsidRPr="00FC577F">
        <w:rPr>
          <w:szCs w:val="24"/>
        </w:rPr>
        <w:t xml:space="preserve">El resultado del ejercicio es </w:t>
      </w:r>
      <w:r w:rsidR="009F28DD" w:rsidRPr="009F28DD">
        <w:rPr>
          <w:szCs w:val="24"/>
        </w:rPr>
        <w:t>134.</w:t>
      </w:r>
      <w:r w:rsidR="00E554D9">
        <w:rPr>
          <w:szCs w:val="24"/>
        </w:rPr>
        <w:t>949,60</w:t>
      </w:r>
      <w:r w:rsidR="009F28DD" w:rsidRPr="009F28DD">
        <w:rPr>
          <w:szCs w:val="24"/>
        </w:rPr>
        <w:t>€ de perdidas por lo que no procede distribución del resultado</w:t>
      </w:r>
      <w:r w:rsidR="00255120">
        <w:rPr>
          <w:szCs w:val="24"/>
        </w:rPr>
        <w:t>.</w:t>
      </w:r>
    </w:p>
    <w:p w14:paraId="24FE398E" w14:textId="77777777" w:rsidR="00211D76" w:rsidRPr="004A5AA8" w:rsidRDefault="00211D76" w:rsidP="00692A19">
      <w:pPr>
        <w:jc w:val="both"/>
        <w:rPr>
          <w:b/>
          <w:color w:val="FF0000"/>
          <w:szCs w:val="24"/>
          <w:u w:val="single"/>
        </w:rPr>
      </w:pPr>
    </w:p>
    <w:p w14:paraId="64370D73" w14:textId="77777777" w:rsidR="006906A8" w:rsidRDefault="006906A8" w:rsidP="00692A19">
      <w:pPr>
        <w:jc w:val="both"/>
        <w:rPr>
          <w:b/>
          <w:szCs w:val="24"/>
          <w:u w:val="single"/>
        </w:rPr>
      </w:pPr>
    </w:p>
    <w:p w14:paraId="4800CD63" w14:textId="77777777" w:rsidR="004A08E7" w:rsidRPr="00CE6FCC" w:rsidRDefault="00CE6FCC" w:rsidP="00692A19">
      <w:pPr>
        <w:jc w:val="both"/>
        <w:rPr>
          <w:b/>
          <w:szCs w:val="24"/>
          <w:u w:val="single"/>
        </w:rPr>
      </w:pPr>
      <w:r w:rsidRPr="00CE6FCC">
        <w:rPr>
          <w:b/>
          <w:szCs w:val="24"/>
          <w:u w:val="single"/>
        </w:rPr>
        <w:t>4.- Normas de valoración</w:t>
      </w:r>
    </w:p>
    <w:p w14:paraId="61D43CCF" w14:textId="77777777" w:rsidR="00C072FD" w:rsidRDefault="00C072FD" w:rsidP="009E576E">
      <w:pPr>
        <w:jc w:val="both"/>
        <w:rPr>
          <w:lang w:val="es-ES_tradnl"/>
        </w:rPr>
      </w:pPr>
    </w:p>
    <w:p w14:paraId="262DB5FB" w14:textId="77777777" w:rsidR="00CE6FCC" w:rsidRDefault="00CE6FCC" w:rsidP="009E576E">
      <w:pPr>
        <w:jc w:val="both"/>
        <w:rPr>
          <w:lang w:val="es-ES_tradnl"/>
        </w:rPr>
      </w:pPr>
      <w:r>
        <w:rPr>
          <w:lang w:val="es-ES_tradnl"/>
        </w:rPr>
        <w:t>Los criterios contables aplicados en relación con las diferentes partidas son los siguientes:</w:t>
      </w:r>
    </w:p>
    <w:p w14:paraId="42AB1D6C" w14:textId="77777777" w:rsidR="00CE6FCC" w:rsidRDefault="00CE6FCC" w:rsidP="009E576E">
      <w:pPr>
        <w:jc w:val="both"/>
        <w:rPr>
          <w:lang w:val="es-ES_tradnl"/>
        </w:rPr>
      </w:pPr>
    </w:p>
    <w:p w14:paraId="39949DC3" w14:textId="77777777" w:rsidR="00CE6FCC" w:rsidRPr="005868CA" w:rsidRDefault="00CE6FCC" w:rsidP="009E576E">
      <w:pPr>
        <w:jc w:val="both"/>
        <w:rPr>
          <w:b/>
          <w:i/>
          <w:u w:val="single"/>
          <w:lang w:val="es-ES_tradnl"/>
        </w:rPr>
      </w:pPr>
      <w:r w:rsidRPr="005868CA">
        <w:rPr>
          <w:b/>
          <w:i/>
          <w:u w:val="single"/>
          <w:lang w:val="es-ES_tradnl"/>
        </w:rPr>
        <w:t>4.1.- Inmovilizado material</w:t>
      </w:r>
    </w:p>
    <w:p w14:paraId="15752067" w14:textId="77777777" w:rsidR="00C072FD" w:rsidRDefault="00C072FD" w:rsidP="009E576E">
      <w:pPr>
        <w:jc w:val="both"/>
        <w:rPr>
          <w:lang w:val="es-ES_tradnl"/>
        </w:rPr>
      </w:pPr>
    </w:p>
    <w:p w14:paraId="4968CBBC" w14:textId="77777777" w:rsidR="00CE6FCC" w:rsidRDefault="00CE6FCC" w:rsidP="009E576E">
      <w:pPr>
        <w:jc w:val="both"/>
        <w:rPr>
          <w:lang w:val="es-ES_tradnl"/>
        </w:rPr>
      </w:pPr>
      <w:r>
        <w:rPr>
          <w:lang w:val="es-ES_tradnl"/>
        </w:rPr>
        <w:t>Los bienes comprendidos en el inmovilizado material se encuentran valorados a su precio de adquisición, que incluye todos aquellos gastos adicionales hasta su puesta en funcionamiento.</w:t>
      </w:r>
    </w:p>
    <w:p w14:paraId="666AEA43" w14:textId="77777777" w:rsidR="006906A8" w:rsidRDefault="006906A8" w:rsidP="009E576E">
      <w:pPr>
        <w:jc w:val="both"/>
        <w:rPr>
          <w:lang w:val="es-ES_tradnl"/>
        </w:rPr>
      </w:pPr>
    </w:p>
    <w:p w14:paraId="3E4165F8" w14:textId="77777777" w:rsidR="00803E10" w:rsidRDefault="00CE6FCC" w:rsidP="009E576E">
      <w:pPr>
        <w:jc w:val="both"/>
        <w:rPr>
          <w:lang w:val="es-ES_tradnl"/>
        </w:rPr>
      </w:pPr>
      <w:r>
        <w:rPr>
          <w:lang w:val="es-ES_tradnl"/>
        </w:rPr>
        <w:t>Dentro de estos gastos están incluidos los financieros devengados antes de la puesta en funcionamiento</w:t>
      </w:r>
      <w:r w:rsidR="006B2E76">
        <w:rPr>
          <w:lang w:val="es-ES_tradnl"/>
        </w:rPr>
        <w:t xml:space="preserve"> del bien (o valorados al precio de coste, el cual se compone del precio de </w:t>
      </w:r>
    </w:p>
    <w:p w14:paraId="6DF1BE55" w14:textId="77777777" w:rsidR="00CE6FCC" w:rsidRDefault="006B2E76" w:rsidP="009E576E">
      <w:pPr>
        <w:jc w:val="both"/>
        <w:rPr>
          <w:lang w:val="es-ES_tradnl"/>
        </w:rPr>
      </w:pPr>
      <w:r>
        <w:rPr>
          <w:lang w:val="es-ES_tradnl"/>
        </w:rPr>
        <w:t>adquisición de las materias primas y los costes directa e indirectamente aplicables a la producción del bien en cuestión).</w:t>
      </w:r>
    </w:p>
    <w:p w14:paraId="6E1FC64D" w14:textId="77777777" w:rsidR="000114C9" w:rsidRDefault="000114C9" w:rsidP="009E576E">
      <w:pPr>
        <w:jc w:val="both"/>
        <w:rPr>
          <w:lang w:val="es-ES_tradnl"/>
        </w:rPr>
      </w:pPr>
    </w:p>
    <w:p w14:paraId="3C7A3D83" w14:textId="77777777" w:rsidR="00A77C4F" w:rsidRDefault="00A77C4F" w:rsidP="009E576E">
      <w:pPr>
        <w:jc w:val="both"/>
        <w:rPr>
          <w:lang w:val="es-ES_tradnl"/>
        </w:rPr>
      </w:pPr>
    </w:p>
    <w:p w14:paraId="540768E4" w14:textId="7679DF59" w:rsidR="006B2E76" w:rsidRDefault="006B2E76" w:rsidP="009E576E">
      <w:pPr>
        <w:jc w:val="both"/>
        <w:rPr>
          <w:lang w:val="es-ES_tradnl"/>
        </w:rPr>
      </w:pPr>
      <w:r>
        <w:rPr>
          <w:lang w:val="es-ES_tradnl"/>
        </w:rPr>
        <w:t>Las reparaciones que no suponen una ampliación de la vida útil del bien han sido llevadas directamente a la cuenta de pérdidas y ganancias. Aquellas mejoras y ampliaciones que dan lugar a una mayor vida del bien, han sido capitalizadas como mayor valor del mismo.</w:t>
      </w:r>
    </w:p>
    <w:p w14:paraId="3B4FC27A" w14:textId="77777777" w:rsidR="006B2E76" w:rsidRDefault="006B2E76" w:rsidP="009E576E">
      <w:pPr>
        <w:jc w:val="both"/>
        <w:rPr>
          <w:lang w:val="es-ES_tradnl"/>
        </w:rPr>
      </w:pPr>
      <w:r>
        <w:rPr>
          <w:lang w:val="es-ES_tradnl"/>
        </w:rPr>
        <w:t>La dotación a la amortización se ha calculado por el método lineal, aplicando para ello los coeficientes máximos de amortización establecidos en la orden de 12 de mayo de 1993, por la que se aprueban las tablas anuales de amortización.</w:t>
      </w:r>
    </w:p>
    <w:p w14:paraId="7DE49F61" w14:textId="77777777" w:rsidR="00DA6F05" w:rsidRDefault="00DA6F05" w:rsidP="009E576E">
      <w:pPr>
        <w:jc w:val="both"/>
        <w:rPr>
          <w:lang w:val="es-ES_tradnl"/>
        </w:rPr>
      </w:pPr>
    </w:p>
    <w:p w14:paraId="46C33D01" w14:textId="77777777" w:rsidR="006B2E76" w:rsidRPr="005868CA" w:rsidRDefault="006B2E76" w:rsidP="009E576E">
      <w:pPr>
        <w:jc w:val="both"/>
        <w:rPr>
          <w:b/>
          <w:i/>
          <w:u w:val="single"/>
          <w:lang w:val="es-ES_tradnl"/>
        </w:rPr>
      </w:pPr>
      <w:r w:rsidRPr="005868CA">
        <w:rPr>
          <w:b/>
          <w:i/>
          <w:u w:val="single"/>
          <w:lang w:val="es-ES_tradnl"/>
        </w:rPr>
        <w:t>4.2.- Créditos</w:t>
      </w:r>
    </w:p>
    <w:p w14:paraId="4B083770" w14:textId="77777777" w:rsidR="000B0A3D" w:rsidRDefault="000B0A3D" w:rsidP="009E576E">
      <w:pPr>
        <w:jc w:val="both"/>
        <w:rPr>
          <w:i/>
          <w:u w:val="single"/>
          <w:lang w:val="es-ES_tradnl"/>
        </w:rPr>
      </w:pPr>
    </w:p>
    <w:p w14:paraId="1543A8FE" w14:textId="77777777" w:rsidR="006B2E76" w:rsidRDefault="00F472CA" w:rsidP="009E576E">
      <w:pPr>
        <w:jc w:val="both"/>
        <w:rPr>
          <w:lang w:val="es-ES_tradnl"/>
        </w:rPr>
      </w:pPr>
      <w:r>
        <w:rPr>
          <w:lang w:val="es-ES_tradnl"/>
        </w:rPr>
        <w:t>Se</w:t>
      </w:r>
      <w:r w:rsidR="006B2E76">
        <w:rPr>
          <w:lang w:val="es-ES_tradnl"/>
        </w:rPr>
        <w:t xml:space="preserve"> contabilizan por el importe entregado, no teniendo en cuenta los intereses. Son en su totalidad presuntamente recuperables a medio plazo.</w:t>
      </w:r>
    </w:p>
    <w:p w14:paraId="5FB6E1ED" w14:textId="77777777" w:rsidR="0053332A" w:rsidRDefault="0053332A" w:rsidP="009E576E">
      <w:pPr>
        <w:jc w:val="both"/>
        <w:rPr>
          <w:lang w:val="es-ES_tradnl"/>
        </w:rPr>
      </w:pPr>
      <w:r>
        <w:rPr>
          <w:lang w:val="es-ES_tradnl"/>
        </w:rPr>
        <w:t>No se han dotado provisiones para cubrir posibles insolvencias durante el ejercicio ya que al cierre del ejercicio no existen causan que lo justifiquen.</w:t>
      </w:r>
    </w:p>
    <w:p w14:paraId="06063025" w14:textId="77777777" w:rsidR="00DA6F05" w:rsidRDefault="00DA6F05" w:rsidP="009E576E">
      <w:pPr>
        <w:jc w:val="both"/>
        <w:rPr>
          <w:lang w:val="es-ES_tradnl"/>
        </w:rPr>
      </w:pPr>
    </w:p>
    <w:p w14:paraId="3671B643" w14:textId="77777777" w:rsidR="00F472CA" w:rsidRPr="005868CA" w:rsidRDefault="00F472CA" w:rsidP="009E576E">
      <w:pPr>
        <w:jc w:val="both"/>
        <w:rPr>
          <w:b/>
          <w:i/>
          <w:u w:val="single"/>
          <w:lang w:val="es-ES_tradnl"/>
        </w:rPr>
      </w:pPr>
      <w:r w:rsidRPr="00E446CA">
        <w:rPr>
          <w:b/>
          <w:i/>
          <w:u w:val="single"/>
          <w:lang w:val="es-ES_tradnl"/>
        </w:rPr>
        <w:t>4.3.- Deudas</w:t>
      </w:r>
    </w:p>
    <w:p w14:paraId="4369F25E" w14:textId="77777777" w:rsidR="00F472CA" w:rsidRDefault="00F472CA" w:rsidP="009E576E">
      <w:pPr>
        <w:jc w:val="both"/>
        <w:rPr>
          <w:lang w:val="es-ES_tradnl"/>
        </w:rPr>
      </w:pPr>
    </w:p>
    <w:p w14:paraId="5283EBAB" w14:textId="77777777" w:rsidR="00F472CA" w:rsidRPr="00A36F5C" w:rsidRDefault="00F472CA" w:rsidP="009E576E">
      <w:pPr>
        <w:jc w:val="both"/>
        <w:rPr>
          <w:lang w:val="es-ES_tradnl"/>
        </w:rPr>
      </w:pPr>
      <w:r w:rsidRPr="00A36F5C">
        <w:rPr>
          <w:lang w:val="es-ES_tradnl"/>
        </w:rPr>
        <w:t>Figuran en el balance por su valor de reembolso.</w:t>
      </w:r>
    </w:p>
    <w:p w14:paraId="29F4F210" w14:textId="77777777" w:rsidR="001E3FD8" w:rsidRPr="00A36F5C" w:rsidRDefault="001E3FD8" w:rsidP="009E576E">
      <w:pPr>
        <w:jc w:val="both"/>
        <w:rPr>
          <w:lang w:val="es-ES_tradnl"/>
        </w:rPr>
      </w:pPr>
    </w:p>
    <w:p w14:paraId="34F71BB7" w14:textId="3572ADE3" w:rsidR="004D1957" w:rsidRPr="00CA721D" w:rsidRDefault="004D1957" w:rsidP="004D1957">
      <w:pPr>
        <w:jc w:val="both"/>
        <w:rPr>
          <w:highlight w:val="yellow"/>
          <w:lang w:val="es-ES_tradnl"/>
        </w:rPr>
      </w:pPr>
      <w:r w:rsidRPr="00806456">
        <w:rPr>
          <w:lang w:val="es-ES_tradnl"/>
        </w:rPr>
        <w:t xml:space="preserve">Las deudas no comerciales a corto plazo, alcanzan un importe de </w:t>
      </w:r>
      <w:r w:rsidR="009F28DD" w:rsidRPr="00806456">
        <w:rPr>
          <w:lang w:val="es-ES_tradnl"/>
        </w:rPr>
        <w:t>318.552,84</w:t>
      </w:r>
      <w:r w:rsidR="00693659" w:rsidRPr="00806456">
        <w:rPr>
          <w:lang w:val="es-ES_tradnl"/>
        </w:rPr>
        <w:t>€</w:t>
      </w:r>
      <w:r w:rsidRPr="00806456">
        <w:rPr>
          <w:lang w:val="es-ES_tradnl"/>
        </w:rPr>
        <w:t xml:space="preserve"> euros</w:t>
      </w:r>
      <w:r w:rsidRPr="00E554D9">
        <w:rPr>
          <w:lang w:val="es-ES_tradnl"/>
        </w:rPr>
        <w:t xml:space="preserve">, de las que </w:t>
      </w:r>
      <w:r w:rsidR="00693659" w:rsidRPr="00E554D9">
        <w:rPr>
          <w:lang w:val="es-ES_tradnl"/>
        </w:rPr>
        <w:t>9.446,06</w:t>
      </w:r>
      <w:r w:rsidR="005443E7" w:rsidRPr="00E554D9">
        <w:rPr>
          <w:lang w:val="es-ES_tradnl"/>
        </w:rPr>
        <w:t xml:space="preserve">€ son de </w:t>
      </w:r>
      <w:r w:rsidRPr="00E554D9">
        <w:rPr>
          <w:lang w:val="es-ES_tradnl"/>
        </w:rPr>
        <w:t>un leasing</w:t>
      </w:r>
      <w:r w:rsidR="005443E7" w:rsidRPr="00E554D9">
        <w:rPr>
          <w:lang w:val="es-ES_tradnl"/>
        </w:rPr>
        <w:t xml:space="preserve"> firmado</w:t>
      </w:r>
      <w:r w:rsidRPr="00E554D9">
        <w:rPr>
          <w:lang w:val="es-ES_tradnl"/>
        </w:rPr>
        <w:t xml:space="preserve"> con el banco Popu</w:t>
      </w:r>
      <w:r w:rsidR="00AD1811" w:rsidRPr="00E554D9">
        <w:rPr>
          <w:lang w:val="es-ES_tradnl"/>
        </w:rPr>
        <w:t>lar S.A</w:t>
      </w:r>
      <w:r w:rsidR="005443E7" w:rsidRPr="00E554D9">
        <w:rPr>
          <w:lang w:val="es-ES_tradnl"/>
        </w:rPr>
        <w:t xml:space="preserve">. </w:t>
      </w:r>
      <w:r w:rsidR="00693659" w:rsidRPr="00806456">
        <w:rPr>
          <w:lang w:val="es-ES_tradnl"/>
        </w:rPr>
        <w:t>y el resto,</w:t>
      </w:r>
      <w:r w:rsidR="009F28DD" w:rsidRPr="00806456">
        <w:rPr>
          <w:lang w:val="es-ES_tradnl"/>
        </w:rPr>
        <w:t xml:space="preserve"> 294.024,11</w:t>
      </w:r>
      <w:r w:rsidR="00DA60CB" w:rsidRPr="00806456">
        <w:rPr>
          <w:lang w:val="es-ES_tradnl"/>
        </w:rPr>
        <w:t>€</w:t>
      </w:r>
      <w:r w:rsidR="00693659" w:rsidRPr="00806456">
        <w:rPr>
          <w:lang w:val="es-ES_tradnl"/>
        </w:rPr>
        <w:t xml:space="preserve"> a</w:t>
      </w:r>
      <w:r w:rsidR="009F28DD" w:rsidRPr="00806456">
        <w:rPr>
          <w:lang w:val="es-ES_tradnl"/>
        </w:rPr>
        <w:t>l</w:t>
      </w:r>
      <w:r w:rsidR="00693659" w:rsidRPr="00806456">
        <w:rPr>
          <w:lang w:val="es-ES_tradnl"/>
        </w:rPr>
        <w:t xml:space="preserve"> préstamo constituido en el mes de octubre</w:t>
      </w:r>
      <w:r w:rsidR="009F28DD" w:rsidRPr="00806456">
        <w:rPr>
          <w:lang w:val="es-ES_tradnl"/>
        </w:rPr>
        <w:t xml:space="preserve"> de 2019</w:t>
      </w:r>
      <w:r w:rsidR="00693659" w:rsidRPr="00806456">
        <w:rPr>
          <w:lang w:val="es-ES_tradnl"/>
        </w:rPr>
        <w:t xml:space="preserve"> por 400.000€ con Banca March</w:t>
      </w:r>
      <w:r w:rsidR="00A36F5C" w:rsidRPr="00806456">
        <w:rPr>
          <w:lang w:val="es-ES_tradnl"/>
        </w:rPr>
        <w:t xml:space="preserve"> para la adquisición de inmuebles</w:t>
      </w:r>
    </w:p>
    <w:p w14:paraId="3ABE3E26" w14:textId="77777777" w:rsidR="00E82FE4" w:rsidRPr="00CA721D" w:rsidRDefault="00E82FE4" w:rsidP="009E576E">
      <w:pPr>
        <w:jc w:val="both"/>
        <w:rPr>
          <w:highlight w:val="yellow"/>
          <w:lang w:val="es-ES_tradnl"/>
        </w:rPr>
      </w:pPr>
    </w:p>
    <w:p w14:paraId="2F630668" w14:textId="7E7E506D" w:rsidR="0053332A" w:rsidRPr="00DA60CB" w:rsidRDefault="0053332A" w:rsidP="009E576E">
      <w:pPr>
        <w:jc w:val="both"/>
        <w:rPr>
          <w:lang w:val="es-ES_tradnl"/>
        </w:rPr>
      </w:pPr>
      <w:r w:rsidRPr="00DA60CB">
        <w:rPr>
          <w:lang w:val="es-ES_tradnl"/>
        </w:rPr>
        <w:t>El restante del exigible a corto plazo</w:t>
      </w:r>
      <w:r w:rsidR="00CB2749" w:rsidRPr="00DA60CB">
        <w:rPr>
          <w:lang w:val="es-ES_tradnl"/>
        </w:rPr>
        <w:t xml:space="preserve">, </w:t>
      </w:r>
      <w:r w:rsidRPr="00DA60CB">
        <w:rPr>
          <w:lang w:val="es-ES_tradnl"/>
        </w:rPr>
        <w:t>viene representado por acreedores comerciales ordinarios, ascendiendo su importe a</w:t>
      </w:r>
      <w:r w:rsidR="009B4C72" w:rsidRPr="00DA60CB">
        <w:rPr>
          <w:lang w:val="es-ES_tradnl"/>
        </w:rPr>
        <w:t xml:space="preserve"> </w:t>
      </w:r>
      <w:r w:rsidR="00DA60CB" w:rsidRPr="00DA60CB">
        <w:rPr>
          <w:lang w:val="es-ES_tradnl"/>
        </w:rPr>
        <w:t>51.073,57</w:t>
      </w:r>
      <w:r w:rsidR="00C1757B" w:rsidRPr="00DA60CB">
        <w:rPr>
          <w:lang w:val="es-ES_tradnl"/>
        </w:rPr>
        <w:t xml:space="preserve"> euros y otros acreedores </w:t>
      </w:r>
      <w:r w:rsidR="00DA60CB" w:rsidRPr="00DA60CB">
        <w:rPr>
          <w:lang w:val="es-ES_tradnl"/>
        </w:rPr>
        <w:t>24.775,50</w:t>
      </w:r>
      <w:r w:rsidR="00C1757B" w:rsidRPr="00DA60CB">
        <w:rPr>
          <w:lang w:val="es-ES_tradnl"/>
        </w:rPr>
        <w:t>€.</w:t>
      </w:r>
    </w:p>
    <w:p w14:paraId="04F98C04" w14:textId="77777777" w:rsidR="009B4C72" w:rsidRPr="00CA721D" w:rsidRDefault="009B4C72" w:rsidP="009E576E">
      <w:pPr>
        <w:jc w:val="both"/>
        <w:rPr>
          <w:color w:val="FF0000"/>
          <w:highlight w:val="yellow"/>
          <w:lang w:val="es-ES_tradnl"/>
        </w:rPr>
      </w:pPr>
    </w:p>
    <w:p w14:paraId="211EB41C" w14:textId="31F05843" w:rsidR="003E1860" w:rsidRDefault="003E1860" w:rsidP="009E576E">
      <w:pPr>
        <w:jc w:val="both"/>
        <w:rPr>
          <w:color w:val="FF0000"/>
          <w:lang w:val="es-ES_tradnl"/>
        </w:rPr>
      </w:pPr>
    </w:p>
    <w:p w14:paraId="6C76BDC1" w14:textId="77777777" w:rsidR="003E1860" w:rsidRPr="00BC7C4B" w:rsidRDefault="003E1860" w:rsidP="009E576E">
      <w:pPr>
        <w:jc w:val="both"/>
        <w:rPr>
          <w:color w:val="FF0000"/>
          <w:lang w:val="es-ES_tradnl"/>
        </w:rPr>
      </w:pPr>
    </w:p>
    <w:p w14:paraId="74490288" w14:textId="77777777" w:rsidR="00F472CA" w:rsidRPr="00885620" w:rsidRDefault="00F472CA" w:rsidP="009E576E">
      <w:pPr>
        <w:jc w:val="both"/>
        <w:rPr>
          <w:b/>
          <w:i/>
          <w:u w:val="single"/>
          <w:lang w:val="es-ES_tradnl"/>
        </w:rPr>
      </w:pPr>
      <w:r w:rsidRPr="00885620">
        <w:rPr>
          <w:b/>
          <w:i/>
          <w:u w:val="single"/>
          <w:lang w:val="es-ES_tradnl"/>
        </w:rPr>
        <w:t>4.4.- impuesto sobre beneficios</w:t>
      </w:r>
    </w:p>
    <w:p w14:paraId="2FF31970" w14:textId="77777777" w:rsidR="00DA6F05" w:rsidRDefault="00DA6F05" w:rsidP="009E576E">
      <w:pPr>
        <w:jc w:val="both"/>
        <w:rPr>
          <w:lang w:val="es-ES_tradnl"/>
        </w:rPr>
      </w:pPr>
    </w:p>
    <w:p w14:paraId="7D528397" w14:textId="2F512A08" w:rsidR="00A36F5C" w:rsidRPr="003E1860" w:rsidRDefault="004B01CD" w:rsidP="00C92FAD">
      <w:pPr>
        <w:pStyle w:val="Prrafodelista"/>
        <w:numPr>
          <w:ilvl w:val="2"/>
          <w:numId w:val="41"/>
        </w:numPr>
        <w:tabs>
          <w:tab w:val="left" w:pos="426"/>
        </w:tabs>
        <w:jc w:val="both"/>
        <w:rPr>
          <w:b/>
          <w:bCs/>
          <w:i/>
          <w:lang w:val="es-ES"/>
        </w:rPr>
      </w:pPr>
      <w:r w:rsidRPr="004B01CD">
        <w:rPr>
          <w:b/>
          <w:bCs/>
          <w:i/>
          <w:lang w:val="es-ES"/>
        </w:rPr>
        <w:t>Conciliación entre el resultado contable y la base imponible</w:t>
      </w:r>
    </w:p>
    <w:p w14:paraId="4D555568" w14:textId="77777777" w:rsidR="00A36F5C" w:rsidRDefault="00A36F5C" w:rsidP="00C92FAD">
      <w:pPr>
        <w:jc w:val="both"/>
        <w:rPr>
          <w:szCs w:val="24"/>
        </w:rPr>
      </w:pPr>
    </w:p>
    <w:p w14:paraId="41FA638C" w14:textId="618F30F0" w:rsidR="00C92FAD" w:rsidRPr="000B0A3D" w:rsidRDefault="004B01CD" w:rsidP="00C92FAD">
      <w:pPr>
        <w:jc w:val="both"/>
        <w:rPr>
          <w:szCs w:val="24"/>
        </w:rPr>
      </w:pPr>
      <w:r w:rsidRPr="008C50F0">
        <w:rPr>
          <w:szCs w:val="24"/>
        </w:rPr>
        <w:t>La conciliación entre el resultado contable y la base imponible de Impuesto sobre Sociedades es la siguiente</w:t>
      </w:r>
    </w:p>
    <w:p w14:paraId="536D26D5" w14:textId="77777777" w:rsidR="00803E10" w:rsidRDefault="00803E10" w:rsidP="005868CA">
      <w:pPr>
        <w:jc w:val="both"/>
        <w:rPr>
          <w:szCs w:val="24"/>
        </w:rPr>
      </w:pPr>
    </w:p>
    <w:p w14:paraId="68BB0171" w14:textId="14B6D5A2" w:rsidR="00133CAA" w:rsidRDefault="00133CAA" w:rsidP="00E238A6">
      <w:pPr>
        <w:pStyle w:val="Default"/>
        <w:jc w:val="both"/>
        <w:rPr>
          <w:rFonts w:ascii="Times New Roman" w:hAnsi="Times New Roman" w:cs="Times New Roman"/>
          <w:iCs/>
          <w:color w:val="C00000"/>
        </w:rPr>
      </w:pPr>
    </w:p>
    <w:p w14:paraId="452E6E49" w14:textId="2149B678" w:rsidR="001E31E3" w:rsidRDefault="001E31E3" w:rsidP="00E238A6">
      <w:pPr>
        <w:pStyle w:val="Default"/>
        <w:jc w:val="both"/>
        <w:rPr>
          <w:rFonts w:ascii="Times New Roman" w:hAnsi="Times New Roman" w:cs="Times New Roman"/>
          <w:iCs/>
          <w:color w:val="C00000"/>
        </w:rPr>
      </w:pPr>
    </w:p>
    <w:p w14:paraId="23E9EC2B" w14:textId="6015E78A" w:rsidR="001E31E3" w:rsidRDefault="001E31E3" w:rsidP="00E238A6">
      <w:pPr>
        <w:pStyle w:val="Default"/>
        <w:jc w:val="both"/>
        <w:rPr>
          <w:rFonts w:ascii="Times New Roman" w:hAnsi="Times New Roman" w:cs="Times New Roman"/>
          <w:iCs/>
          <w:color w:val="C00000"/>
        </w:rPr>
      </w:pPr>
    </w:p>
    <w:p w14:paraId="436082A2" w14:textId="68805119" w:rsidR="001E31E3" w:rsidRDefault="001E31E3" w:rsidP="00E238A6">
      <w:pPr>
        <w:pStyle w:val="Default"/>
        <w:jc w:val="both"/>
        <w:rPr>
          <w:rFonts w:ascii="Times New Roman" w:hAnsi="Times New Roman" w:cs="Times New Roman"/>
          <w:iCs/>
          <w:color w:val="C00000"/>
        </w:rPr>
      </w:pPr>
    </w:p>
    <w:p w14:paraId="1DB41A87" w14:textId="216A7CD8" w:rsidR="001E31E3" w:rsidRDefault="001E31E3" w:rsidP="00E238A6">
      <w:pPr>
        <w:pStyle w:val="Default"/>
        <w:jc w:val="both"/>
        <w:rPr>
          <w:rFonts w:ascii="Times New Roman" w:hAnsi="Times New Roman" w:cs="Times New Roman"/>
          <w:iCs/>
          <w:color w:val="C00000"/>
        </w:rPr>
      </w:pPr>
    </w:p>
    <w:p w14:paraId="0D442F1B" w14:textId="0BCFE0F9" w:rsidR="001E31E3" w:rsidRDefault="001E31E3" w:rsidP="00E238A6">
      <w:pPr>
        <w:pStyle w:val="Default"/>
        <w:jc w:val="both"/>
        <w:rPr>
          <w:rFonts w:ascii="Times New Roman" w:hAnsi="Times New Roman" w:cs="Times New Roman"/>
          <w:iCs/>
          <w:color w:val="C00000"/>
        </w:rPr>
      </w:pPr>
    </w:p>
    <w:p w14:paraId="40F672D8" w14:textId="49A09FC3" w:rsidR="001E31E3" w:rsidRDefault="001E31E3" w:rsidP="00E238A6">
      <w:pPr>
        <w:pStyle w:val="Default"/>
        <w:jc w:val="both"/>
        <w:rPr>
          <w:rFonts w:ascii="Times New Roman" w:hAnsi="Times New Roman" w:cs="Times New Roman"/>
          <w:iCs/>
          <w:color w:val="C00000"/>
        </w:rPr>
      </w:pPr>
    </w:p>
    <w:p w14:paraId="321DC6C5" w14:textId="77777777" w:rsidR="001E31E3" w:rsidRDefault="001E31E3" w:rsidP="00E238A6">
      <w:pPr>
        <w:pStyle w:val="Default"/>
        <w:jc w:val="both"/>
        <w:rPr>
          <w:rFonts w:ascii="Times New Roman" w:hAnsi="Times New Roman" w:cs="Times New Roman"/>
          <w:iCs/>
          <w:color w:val="C00000"/>
        </w:rPr>
      </w:pPr>
    </w:p>
    <w:p w14:paraId="6590FE60" w14:textId="1E8DD3C0" w:rsidR="004A5AA8" w:rsidRPr="00F315F5" w:rsidRDefault="004A5AA8" w:rsidP="004A5AA8">
      <w:pPr>
        <w:jc w:val="both"/>
        <w:rPr>
          <w:b/>
          <w:sz w:val="20"/>
          <w:szCs w:val="20"/>
          <w:u w:val="single"/>
        </w:rPr>
      </w:pPr>
      <w:r w:rsidRPr="00F315F5">
        <w:rPr>
          <w:b/>
          <w:sz w:val="20"/>
          <w:szCs w:val="20"/>
          <w:u w:val="single"/>
        </w:rPr>
        <w:t>Ejercicio 201</w:t>
      </w:r>
      <w:r>
        <w:rPr>
          <w:b/>
          <w:sz w:val="20"/>
          <w:szCs w:val="20"/>
          <w:u w:val="single"/>
        </w:rPr>
        <w:t>9</w:t>
      </w:r>
    </w:p>
    <w:p w14:paraId="067B8D82" w14:textId="77777777" w:rsidR="004A5AA8" w:rsidRPr="00F315F5" w:rsidRDefault="004A5AA8" w:rsidP="004A5AA8">
      <w:pPr>
        <w:jc w:val="both"/>
        <w:rPr>
          <w:b/>
          <w:sz w:val="20"/>
          <w:szCs w:val="20"/>
          <w:u w:val="single"/>
        </w:rPr>
      </w:pPr>
    </w:p>
    <w:tbl>
      <w:tblPr>
        <w:tblW w:w="0" w:type="auto"/>
        <w:jc w:val="center"/>
        <w:tblLayout w:type="fixed"/>
        <w:tblCellMar>
          <w:left w:w="42" w:type="dxa"/>
          <w:right w:w="42" w:type="dxa"/>
        </w:tblCellMar>
        <w:tblLook w:val="0000" w:firstRow="0" w:lastRow="0" w:firstColumn="0" w:lastColumn="0" w:noHBand="0" w:noVBand="0"/>
      </w:tblPr>
      <w:tblGrid>
        <w:gridCol w:w="3661"/>
        <w:gridCol w:w="1007"/>
        <w:gridCol w:w="1384"/>
        <w:gridCol w:w="1260"/>
      </w:tblGrid>
      <w:tr w:rsidR="004A5AA8" w:rsidRPr="00F315F5" w14:paraId="2077DE60" w14:textId="77777777" w:rsidTr="00AC1879">
        <w:trPr>
          <w:cantSplit/>
          <w:trHeight w:val="170"/>
          <w:jc w:val="center"/>
        </w:trPr>
        <w:tc>
          <w:tcPr>
            <w:tcW w:w="3661" w:type="dxa"/>
            <w:tcBorders>
              <w:right w:val="single" w:sz="4" w:space="0" w:color="auto"/>
            </w:tcBorders>
          </w:tcPr>
          <w:p w14:paraId="4CF06587" w14:textId="77777777" w:rsidR="004A5AA8" w:rsidRPr="00F315F5" w:rsidRDefault="004A5AA8" w:rsidP="00AC1879">
            <w:pPr>
              <w:pStyle w:val="Tabladeilustraciones"/>
              <w:keepNext/>
            </w:pPr>
          </w:p>
        </w:tc>
        <w:tc>
          <w:tcPr>
            <w:tcW w:w="3651" w:type="dxa"/>
            <w:gridSpan w:val="3"/>
            <w:tcBorders>
              <w:top w:val="single" w:sz="4" w:space="0" w:color="auto"/>
              <w:left w:val="single" w:sz="4" w:space="0" w:color="auto"/>
              <w:bottom w:val="single" w:sz="4" w:space="0" w:color="auto"/>
              <w:right w:val="single" w:sz="4" w:space="0" w:color="auto"/>
            </w:tcBorders>
          </w:tcPr>
          <w:p w14:paraId="3D73D9D0" w14:textId="77777777" w:rsidR="004A5AA8" w:rsidRPr="00F315F5" w:rsidRDefault="004A5AA8" w:rsidP="00AC1879">
            <w:pPr>
              <w:pStyle w:val="Tabladeilustraciones"/>
              <w:keepNext/>
              <w:jc w:val="center"/>
            </w:pPr>
            <w:r w:rsidRPr="00F315F5">
              <w:t>Euros</w:t>
            </w:r>
          </w:p>
        </w:tc>
      </w:tr>
      <w:tr w:rsidR="004A5AA8" w:rsidRPr="00F315F5" w14:paraId="06E2A468" w14:textId="77777777" w:rsidTr="00AC1879">
        <w:trPr>
          <w:cantSplit/>
          <w:trHeight w:val="170"/>
          <w:jc w:val="center"/>
        </w:trPr>
        <w:tc>
          <w:tcPr>
            <w:tcW w:w="3661" w:type="dxa"/>
            <w:tcBorders>
              <w:bottom w:val="single" w:sz="4" w:space="0" w:color="auto"/>
              <w:right w:val="single" w:sz="4" w:space="0" w:color="auto"/>
            </w:tcBorders>
          </w:tcPr>
          <w:p w14:paraId="319ACC3D" w14:textId="77777777" w:rsidR="004A5AA8" w:rsidRPr="00F315F5" w:rsidRDefault="004A5AA8" w:rsidP="00AC1879">
            <w:pPr>
              <w:pStyle w:val="Tabladeilustraciones"/>
              <w:keepNext/>
              <w:jc w:val="center"/>
              <w:rPr>
                <w:b/>
              </w:rPr>
            </w:pPr>
          </w:p>
        </w:tc>
        <w:tc>
          <w:tcPr>
            <w:tcW w:w="1007" w:type="dxa"/>
            <w:tcBorders>
              <w:top w:val="single" w:sz="4" w:space="0" w:color="auto"/>
              <w:left w:val="single" w:sz="4" w:space="0" w:color="auto"/>
              <w:bottom w:val="single" w:sz="4" w:space="0" w:color="auto"/>
              <w:right w:val="single" w:sz="4" w:space="0" w:color="auto"/>
            </w:tcBorders>
          </w:tcPr>
          <w:p w14:paraId="1A99FEF4" w14:textId="77777777" w:rsidR="004A5AA8" w:rsidRPr="00F315F5" w:rsidRDefault="004A5AA8" w:rsidP="00AC1879">
            <w:pPr>
              <w:pStyle w:val="Tabladeilustraciones"/>
              <w:keepNext/>
              <w:jc w:val="center"/>
            </w:pPr>
            <w:r w:rsidRPr="00F315F5">
              <w:t>Aumentos</w:t>
            </w:r>
          </w:p>
        </w:tc>
        <w:tc>
          <w:tcPr>
            <w:tcW w:w="1384" w:type="dxa"/>
            <w:tcBorders>
              <w:top w:val="single" w:sz="4" w:space="0" w:color="auto"/>
              <w:left w:val="single" w:sz="4" w:space="0" w:color="auto"/>
              <w:bottom w:val="single" w:sz="4" w:space="0" w:color="auto"/>
              <w:right w:val="single" w:sz="4" w:space="0" w:color="auto"/>
            </w:tcBorders>
          </w:tcPr>
          <w:p w14:paraId="20D6925C" w14:textId="77777777" w:rsidR="004A5AA8" w:rsidRPr="00F315F5" w:rsidRDefault="004A5AA8" w:rsidP="00AC1879">
            <w:pPr>
              <w:pStyle w:val="Tabladeilustraciones"/>
              <w:keepNext/>
              <w:jc w:val="center"/>
            </w:pPr>
            <w:r w:rsidRPr="00F315F5">
              <w:t>Disminuciones</w:t>
            </w:r>
          </w:p>
        </w:tc>
        <w:tc>
          <w:tcPr>
            <w:tcW w:w="1260" w:type="dxa"/>
            <w:tcBorders>
              <w:top w:val="single" w:sz="4" w:space="0" w:color="auto"/>
              <w:left w:val="single" w:sz="4" w:space="0" w:color="auto"/>
              <w:bottom w:val="single" w:sz="4" w:space="0" w:color="auto"/>
              <w:right w:val="single" w:sz="4" w:space="0" w:color="auto"/>
            </w:tcBorders>
          </w:tcPr>
          <w:p w14:paraId="62B9A458" w14:textId="77777777" w:rsidR="004A5AA8" w:rsidRPr="00F315F5" w:rsidRDefault="004A5AA8" w:rsidP="00AC1879">
            <w:pPr>
              <w:pStyle w:val="Tabladeilustraciones"/>
              <w:keepNext/>
              <w:jc w:val="center"/>
            </w:pPr>
            <w:r w:rsidRPr="00F315F5">
              <w:t>Total</w:t>
            </w:r>
          </w:p>
        </w:tc>
      </w:tr>
      <w:tr w:rsidR="004A5AA8" w:rsidRPr="00F315F5" w14:paraId="5DE5117B" w14:textId="77777777" w:rsidTr="00AC1879">
        <w:trPr>
          <w:cantSplit/>
          <w:trHeight w:val="170"/>
          <w:jc w:val="center"/>
        </w:trPr>
        <w:tc>
          <w:tcPr>
            <w:tcW w:w="3661" w:type="dxa"/>
            <w:tcBorders>
              <w:top w:val="single" w:sz="4" w:space="0" w:color="auto"/>
              <w:left w:val="single" w:sz="4" w:space="0" w:color="auto"/>
              <w:bottom w:val="single" w:sz="4" w:space="0" w:color="auto"/>
              <w:right w:val="single" w:sz="4" w:space="0" w:color="auto"/>
            </w:tcBorders>
          </w:tcPr>
          <w:p w14:paraId="3FC9D47E" w14:textId="77777777" w:rsidR="004A5AA8" w:rsidRPr="00F315F5" w:rsidRDefault="004A5AA8" w:rsidP="00AC1879">
            <w:pPr>
              <w:pStyle w:val="Tabladeilustraciones"/>
              <w:keepNext/>
              <w:rPr>
                <w:b/>
              </w:rPr>
            </w:pPr>
            <w:r w:rsidRPr="00F315F5">
              <w:rPr>
                <w:b/>
              </w:rPr>
              <w:t>Resultado contable antes de impuestos</w:t>
            </w:r>
          </w:p>
        </w:tc>
        <w:tc>
          <w:tcPr>
            <w:tcW w:w="1007" w:type="dxa"/>
            <w:tcBorders>
              <w:top w:val="single" w:sz="4" w:space="0" w:color="auto"/>
              <w:left w:val="single" w:sz="4" w:space="0" w:color="auto"/>
              <w:bottom w:val="single" w:sz="4" w:space="0" w:color="auto"/>
              <w:right w:val="single" w:sz="4" w:space="0" w:color="auto"/>
            </w:tcBorders>
          </w:tcPr>
          <w:p w14:paraId="3CE9ADC8" w14:textId="77777777" w:rsidR="004A5AA8" w:rsidRPr="00F315F5" w:rsidRDefault="004A5AA8" w:rsidP="00AC1879">
            <w:pPr>
              <w:pStyle w:val="Tabladeilustraciones"/>
              <w:keepNext/>
              <w:jc w:val="center"/>
            </w:pPr>
          </w:p>
        </w:tc>
        <w:tc>
          <w:tcPr>
            <w:tcW w:w="1384" w:type="dxa"/>
            <w:tcBorders>
              <w:top w:val="single" w:sz="4" w:space="0" w:color="auto"/>
              <w:left w:val="single" w:sz="4" w:space="0" w:color="auto"/>
              <w:bottom w:val="single" w:sz="4" w:space="0" w:color="auto"/>
              <w:right w:val="single" w:sz="4" w:space="0" w:color="auto"/>
            </w:tcBorders>
          </w:tcPr>
          <w:p w14:paraId="6BBC9A7C" w14:textId="77777777" w:rsidR="004A5AA8" w:rsidRPr="00F315F5" w:rsidRDefault="004A5AA8" w:rsidP="00AC1879">
            <w:pPr>
              <w:pStyle w:val="Tabladeilustraciones"/>
              <w:keepNext/>
              <w:jc w:val="center"/>
            </w:pPr>
          </w:p>
        </w:tc>
        <w:tc>
          <w:tcPr>
            <w:tcW w:w="1260" w:type="dxa"/>
            <w:tcBorders>
              <w:top w:val="single" w:sz="4" w:space="0" w:color="auto"/>
              <w:left w:val="single" w:sz="4" w:space="0" w:color="auto"/>
              <w:bottom w:val="single" w:sz="4" w:space="0" w:color="auto"/>
              <w:right w:val="single" w:sz="4" w:space="0" w:color="auto"/>
            </w:tcBorders>
          </w:tcPr>
          <w:p w14:paraId="3D7F762B" w14:textId="699A46D4" w:rsidR="004A5AA8" w:rsidRPr="00F315F5" w:rsidRDefault="00E53F3F" w:rsidP="00AC1879">
            <w:pPr>
              <w:pStyle w:val="Tabladeilustraciones"/>
              <w:keepNext/>
              <w:jc w:val="center"/>
              <w:rPr>
                <w:b/>
              </w:rPr>
            </w:pPr>
            <w:r>
              <w:rPr>
                <w:b/>
              </w:rPr>
              <w:t>336.792,59</w:t>
            </w:r>
          </w:p>
        </w:tc>
      </w:tr>
      <w:tr w:rsidR="004A5AA8" w:rsidRPr="00F315F5" w14:paraId="4141C358" w14:textId="77777777" w:rsidTr="00AC1879">
        <w:trPr>
          <w:cantSplit/>
          <w:trHeight w:val="170"/>
          <w:jc w:val="center"/>
        </w:trPr>
        <w:tc>
          <w:tcPr>
            <w:tcW w:w="3661" w:type="dxa"/>
            <w:tcBorders>
              <w:top w:val="single" w:sz="4" w:space="0" w:color="auto"/>
              <w:left w:val="single" w:sz="4" w:space="0" w:color="auto"/>
              <w:right w:val="single" w:sz="4" w:space="0" w:color="auto"/>
            </w:tcBorders>
          </w:tcPr>
          <w:p w14:paraId="2363DB83" w14:textId="7C91E9F8" w:rsidR="004A5AA8" w:rsidRPr="00E53F3F" w:rsidRDefault="004A5AA8" w:rsidP="00AC1879">
            <w:pPr>
              <w:rPr>
                <w:sz w:val="20"/>
                <w:szCs w:val="20"/>
              </w:rPr>
            </w:pPr>
            <w:r w:rsidRPr="00F315F5">
              <w:rPr>
                <w:sz w:val="20"/>
                <w:szCs w:val="20"/>
              </w:rPr>
              <w:t xml:space="preserve">Reserva </w:t>
            </w:r>
            <w:r w:rsidR="00E53F3F">
              <w:rPr>
                <w:sz w:val="20"/>
                <w:szCs w:val="20"/>
              </w:rPr>
              <w:t>nivelación</w:t>
            </w:r>
          </w:p>
        </w:tc>
        <w:tc>
          <w:tcPr>
            <w:tcW w:w="1007" w:type="dxa"/>
            <w:tcBorders>
              <w:top w:val="single" w:sz="4" w:space="0" w:color="auto"/>
              <w:left w:val="single" w:sz="4" w:space="0" w:color="auto"/>
              <w:right w:val="single" w:sz="4" w:space="0" w:color="auto"/>
            </w:tcBorders>
          </w:tcPr>
          <w:p w14:paraId="48E8FA05" w14:textId="77777777" w:rsidR="004A5AA8" w:rsidRPr="00F315F5" w:rsidRDefault="004A5AA8" w:rsidP="00AC1879">
            <w:pPr>
              <w:rPr>
                <w:sz w:val="20"/>
                <w:szCs w:val="20"/>
              </w:rPr>
            </w:pPr>
          </w:p>
        </w:tc>
        <w:tc>
          <w:tcPr>
            <w:tcW w:w="1384" w:type="dxa"/>
            <w:tcBorders>
              <w:top w:val="single" w:sz="4" w:space="0" w:color="auto"/>
              <w:left w:val="single" w:sz="4" w:space="0" w:color="auto"/>
              <w:right w:val="single" w:sz="4" w:space="0" w:color="auto"/>
            </w:tcBorders>
          </w:tcPr>
          <w:p w14:paraId="2CCC6BF5" w14:textId="543AB0D7" w:rsidR="004A5AA8" w:rsidRPr="00F315F5" w:rsidRDefault="00E53F3F" w:rsidP="00AC1879">
            <w:pPr>
              <w:jc w:val="center"/>
              <w:rPr>
                <w:sz w:val="20"/>
                <w:szCs w:val="20"/>
              </w:rPr>
            </w:pPr>
            <w:r>
              <w:rPr>
                <w:sz w:val="20"/>
                <w:szCs w:val="20"/>
              </w:rPr>
              <w:t>33.041,14</w:t>
            </w:r>
          </w:p>
        </w:tc>
        <w:tc>
          <w:tcPr>
            <w:tcW w:w="1260" w:type="dxa"/>
            <w:tcBorders>
              <w:top w:val="single" w:sz="4" w:space="0" w:color="auto"/>
              <w:left w:val="single" w:sz="4" w:space="0" w:color="auto"/>
              <w:right w:val="single" w:sz="4" w:space="0" w:color="auto"/>
            </w:tcBorders>
          </w:tcPr>
          <w:p w14:paraId="39565D30" w14:textId="77777777" w:rsidR="004A5AA8" w:rsidRPr="00F315F5" w:rsidRDefault="004A5AA8" w:rsidP="00AC1879">
            <w:pPr>
              <w:jc w:val="center"/>
              <w:rPr>
                <w:sz w:val="20"/>
                <w:szCs w:val="20"/>
              </w:rPr>
            </w:pPr>
            <w:r w:rsidRPr="00F315F5">
              <w:rPr>
                <w:sz w:val="20"/>
                <w:szCs w:val="20"/>
              </w:rPr>
              <w:t>-</w:t>
            </w:r>
          </w:p>
        </w:tc>
      </w:tr>
      <w:tr w:rsidR="004A5AA8" w:rsidRPr="00F315F5" w14:paraId="042C8DF5" w14:textId="77777777" w:rsidTr="00AC1879">
        <w:trPr>
          <w:cantSplit/>
          <w:trHeight w:val="170"/>
          <w:jc w:val="center"/>
        </w:trPr>
        <w:tc>
          <w:tcPr>
            <w:tcW w:w="3661" w:type="dxa"/>
            <w:tcBorders>
              <w:left w:val="single" w:sz="4" w:space="0" w:color="auto"/>
              <w:bottom w:val="single" w:sz="4" w:space="0" w:color="auto"/>
              <w:right w:val="single" w:sz="4" w:space="0" w:color="auto"/>
            </w:tcBorders>
          </w:tcPr>
          <w:p w14:paraId="12EFD6B2" w14:textId="67C440AB" w:rsidR="004A5AA8" w:rsidRPr="00F315F5" w:rsidRDefault="00E53F3F" w:rsidP="00AC1879">
            <w:pPr>
              <w:pStyle w:val="Tabladeilustraciones"/>
              <w:keepNext/>
            </w:pPr>
            <w:r>
              <w:t>Reserva capitalización</w:t>
            </w:r>
          </w:p>
        </w:tc>
        <w:tc>
          <w:tcPr>
            <w:tcW w:w="1007" w:type="dxa"/>
            <w:tcBorders>
              <w:left w:val="single" w:sz="4" w:space="0" w:color="auto"/>
              <w:bottom w:val="single" w:sz="4" w:space="0" w:color="auto"/>
              <w:right w:val="single" w:sz="4" w:space="0" w:color="auto"/>
            </w:tcBorders>
          </w:tcPr>
          <w:p w14:paraId="160C2855" w14:textId="77777777" w:rsidR="004A5AA8" w:rsidRPr="00F315F5" w:rsidRDefault="004A5AA8" w:rsidP="00AC1879">
            <w:pPr>
              <w:pStyle w:val="Tabladeilustraciones"/>
              <w:keepNext/>
              <w:jc w:val="center"/>
            </w:pPr>
          </w:p>
        </w:tc>
        <w:tc>
          <w:tcPr>
            <w:tcW w:w="1384" w:type="dxa"/>
            <w:tcBorders>
              <w:left w:val="single" w:sz="4" w:space="0" w:color="auto"/>
              <w:bottom w:val="single" w:sz="4" w:space="0" w:color="auto"/>
              <w:right w:val="single" w:sz="4" w:space="0" w:color="auto"/>
            </w:tcBorders>
          </w:tcPr>
          <w:p w14:paraId="6B740B29" w14:textId="20913719" w:rsidR="004A5AA8" w:rsidRPr="00F315F5" w:rsidRDefault="00E53F3F" w:rsidP="00AC1879">
            <w:pPr>
              <w:pStyle w:val="Tabladeilustraciones"/>
              <w:keepNext/>
              <w:jc w:val="center"/>
            </w:pPr>
            <w:r>
              <w:t>6.381,20</w:t>
            </w:r>
          </w:p>
        </w:tc>
        <w:tc>
          <w:tcPr>
            <w:tcW w:w="1260" w:type="dxa"/>
            <w:tcBorders>
              <w:left w:val="single" w:sz="4" w:space="0" w:color="auto"/>
              <w:bottom w:val="single" w:sz="4" w:space="0" w:color="auto"/>
              <w:right w:val="single" w:sz="4" w:space="0" w:color="auto"/>
            </w:tcBorders>
          </w:tcPr>
          <w:p w14:paraId="5DDD0C45" w14:textId="77777777" w:rsidR="004A5AA8" w:rsidRPr="00F315F5" w:rsidRDefault="004A5AA8" w:rsidP="00AC1879">
            <w:pPr>
              <w:pStyle w:val="Tabladeilustraciones"/>
              <w:keepNext/>
              <w:jc w:val="center"/>
            </w:pPr>
            <w:r w:rsidRPr="00F315F5">
              <w:t>-</w:t>
            </w:r>
          </w:p>
        </w:tc>
      </w:tr>
      <w:tr w:rsidR="004A5AA8" w:rsidRPr="00F315F5" w14:paraId="155C707B" w14:textId="77777777" w:rsidTr="00AC1879">
        <w:trPr>
          <w:cantSplit/>
          <w:trHeight w:val="170"/>
          <w:jc w:val="center"/>
        </w:trPr>
        <w:tc>
          <w:tcPr>
            <w:tcW w:w="3661" w:type="dxa"/>
            <w:tcBorders>
              <w:top w:val="single" w:sz="4" w:space="0" w:color="auto"/>
              <w:left w:val="single" w:sz="4" w:space="0" w:color="auto"/>
              <w:bottom w:val="single" w:sz="4" w:space="0" w:color="auto"/>
              <w:right w:val="single" w:sz="4" w:space="0" w:color="auto"/>
            </w:tcBorders>
          </w:tcPr>
          <w:p w14:paraId="3C4EB025" w14:textId="77777777" w:rsidR="004A5AA8" w:rsidRPr="00F315F5" w:rsidRDefault="004A5AA8" w:rsidP="00AC1879">
            <w:pPr>
              <w:pStyle w:val="Tabladeilustraciones"/>
              <w:keepNext/>
              <w:rPr>
                <w:b/>
              </w:rPr>
            </w:pPr>
            <w:r w:rsidRPr="00F315F5">
              <w:rPr>
                <w:b/>
              </w:rPr>
              <w:t>Base imponible fiscal</w:t>
            </w:r>
          </w:p>
        </w:tc>
        <w:tc>
          <w:tcPr>
            <w:tcW w:w="1007" w:type="dxa"/>
            <w:tcBorders>
              <w:top w:val="single" w:sz="4" w:space="0" w:color="auto"/>
              <w:left w:val="single" w:sz="4" w:space="0" w:color="auto"/>
            </w:tcBorders>
          </w:tcPr>
          <w:p w14:paraId="31C84180" w14:textId="77777777" w:rsidR="004A5AA8" w:rsidRPr="00F315F5" w:rsidRDefault="004A5AA8" w:rsidP="00AC1879">
            <w:pPr>
              <w:pStyle w:val="Tabladeilustraciones"/>
              <w:keepNext/>
              <w:jc w:val="center"/>
            </w:pPr>
          </w:p>
        </w:tc>
        <w:tc>
          <w:tcPr>
            <w:tcW w:w="1384" w:type="dxa"/>
            <w:tcBorders>
              <w:top w:val="single" w:sz="4" w:space="0" w:color="auto"/>
              <w:right w:val="single" w:sz="4" w:space="0" w:color="auto"/>
            </w:tcBorders>
          </w:tcPr>
          <w:p w14:paraId="6A859EF8" w14:textId="77777777" w:rsidR="004A5AA8" w:rsidRPr="00F315F5" w:rsidRDefault="004A5AA8" w:rsidP="00AC1879">
            <w:pPr>
              <w:pStyle w:val="Tabladeilustraciones"/>
              <w:keepNext/>
              <w:jc w:val="center"/>
            </w:pPr>
          </w:p>
        </w:tc>
        <w:tc>
          <w:tcPr>
            <w:tcW w:w="1260" w:type="dxa"/>
            <w:tcBorders>
              <w:top w:val="single" w:sz="4" w:space="0" w:color="auto"/>
              <w:left w:val="single" w:sz="4" w:space="0" w:color="auto"/>
              <w:bottom w:val="single" w:sz="4" w:space="0" w:color="auto"/>
              <w:right w:val="single" w:sz="4" w:space="0" w:color="auto"/>
            </w:tcBorders>
          </w:tcPr>
          <w:p w14:paraId="23307746" w14:textId="5965F6CD" w:rsidR="004A5AA8" w:rsidRPr="00F315F5" w:rsidRDefault="004A5AA8" w:rsidP="00AC1879">
            <w:pPr>
              <w:pStyle w:val="Tabladeilustraciones"/>
              <w:keepNext/>
              <w:jc w:val="center"/>
              <w:rPr>
                <w:b/>
              </w:rPr>
            </w:pPr>
          </w:p>
        </w:tc>
      </w:tr>
      <w:tr w:rsidR="004A5AA8" w:rsidRPr="00F315F5" w14:paraId="03382C15" w14:textId="77777777" w:rsidTr="00AC1879">
        <w:trPr>
          <w:cantSplit/>
          <w:trHeight w:val="170"/>
          <w:jc w:val="center"/>
        </w:trPr>
        <w:tc>
          <w:tcPr>
            <w:tcW w:w="3661" w:type="dxa"/>
            <w:tcBorders>
              <w:top w:val="single" w:sz="4" w:space="0" w:color="auto"/>
              <w:left w:val="single" w:sz="4" w:space="0" w:color="auto"/>
              <w:bottom w:val="single" w:sz="4" w:space="0" w:color="auto"/>
              <w:right w:val="single" w:sz="4" w:space="0" w:color="auto"/>
            </w:tcBorders>
          </w:tcPr>
          <w:p w14:paraId="1653CD11" w14:textId="77777777" w:rsidR="004A5AA8" w:rsidRPr="00F315F5" w:rsidRDefault="004A5AA8" w:rsidP="00AC1879">
            <w:pPr>
              <w:pStyle w:val="Tabladeilustraciones"/>
              <w:keepNext/>
              <w:rPr>
                <w:b/>
              </w:rPr>
            </w:pPr>
          </w:p>
        </w:tc>
        <w:tc>
          <w:tcPr>
            <w:tcW w:w="1007" w:type="dxa"/>
            <w:tcBorders>
              <w:top w:val="single" w:sz="4" w:space="0" w:color="auto"/>
              <w:left w:val="single" w:sz="4" w:space="0" w:color="auto"/>
            </w:tcBorders>
          </w:tcPr>
          <w:p w14:paraId="27EEC95D" w14:textId="77777777" w:rsidR="004A5AA8" w:rsidRPr="00F315F5" w:rsidRDefault="004A5AA8" w:rsidP="00AC1879">
            <w:pPr>
              <w:pStyle w:val="Tabladeilustraciones"/>
              <w:keepNext/>
              <w:jc w:val="center"/>
            </w:pPr>
          </w:p>
        </w:tc>
        <w:tc>
          <w:tcPr>
            <w:tcW w:w="1384" w:type="dxa"/>
            <w:tcBorders>
              <w:top w:val="single" w:sz="4" w:space="0" w:color="auto"/>
              <w:right w:val="single" w:sz="4" w:space="0" w:color="auto"/>
            </w:tcBorders>
          </w:tcPr>
          <w:p w14:paraId="0EAFB381" w14:textId="77777777" w:rsidR="004A5AA8" w:rsidRPr="00F315F5" w:rsidRDefault="004A5AA8" w:rsidP="00AC1879">
            <w:pPr>
              <w:pStyle w:val="Tabladeilustraciones"/>
              <w:keepNext/>
              <w:jc w:val="center"/>
            </w:pPr>
          </w:p>
        </w:tc>
        <w:tc>
          <w:tcPr>
            <w:tcW w:w="1260" w:type="dxa"/>
            <w:tcBorders>
              <w:top w:val="single" w:sz="4" w:space="0" w:color="auto"/>
              <w:left w:val="single" w:sz="4" w:space="0" w:color="auto"/>
              <w:bottom w:val="single" w:sz="4" w:space="0" w:color="auto"/>
              <w:right w:val="single" w:sz="4" w:space="0" w:color="auto"/>
            </w:tcBorders>
          </w:tcPr>
          <w:p w14:paraId="0586109E" w14:textId="1F86EBC7" w:rsidR="004A5AA8" w:rsidRPr="00F315F5" w:rsidRDefault="00E53F3F" w:rsidP="00AC1879">
            <w:pPr>
              <w:pStyle w:val="Tabladeilustraciones"/>
              <w:keepNext/>
              <w:jc w:val="center"/>
              <w:rPr>
                <w:b/>
              </w:rPr>
            </w:pPr>
            <w:r>
              <w:rPr>
                <w:b/>
              </w:rPr>
              <w:t>297.370,25</w:t>
            </w:r>
          </w:p>
        </w:tc>
      </w:tr>
    </w:tbl>
    <w:p w14:paraId="2AF8AF12" w14:textId="55A6DDBD" w:rsidR="004A5AA8" w:rsidRDefault="004A5AA8" w:rsidP="00E238A6">
      <w:pPr>
        <w:pStyle w:val="Default"/>
        <w:jc w:val="both"/>
        <w:rPr>
          <w:rFonts w:ascii="Times New Roman" w:hAnsi="Times New Roman" w:cs="Times New Roman"/>
          <w:iCs/>
          <w:color w:val="C00000"/>
        </w:rPr>
      </w:pPr>
    </w:p>
    <w:p w14:paraId="7D9570C6" w14:textId="69146951" w:rsidR="00CA721D" w:rsidRDefault="00CA721D" w:rsidP="00E238A6">
      <w:pPr>
        <w:pStyle w:val="Default"/>
        <w:jc w:val="both"/>
        <w:rPr>
          <w:rFonts w:ascii="Times New Roman" w:hAnsi="Times New Roman" w:cs="Times New Roman"/>
          <w:iCs/>
          <w:color w:val="C00000"/>
        </w:rPr>
      </w:pPr>
    </w:p>
    <w:p w14:paraId="4F193F56" w14:textId="77777777" w:rsidR="00CA721D" w:rsidRDefault="00CA721D" w:rsidP="00E238A6">
      <w:pPr>
        <w:pStyle w:val="Default"/>
        <w:jc w:val="both"/>
        <w:rPr>
          <w:rFonts w:ascii="Times New Roman" w:hAnsi="Times New Roman" w:cs="Times New Roman"/>
          <w:iCs/>
          <w:color w:val="C00000"/>
        </w:rPr>
      </w:pPr>
    </w:p>
    <w:p w14:paraId="736331C5" w14:textId="26E90F63" w:rsidR="00CA721D" w:rsidRPr="00293294" w:rsidRDefault="00CA721D" w:rsidP="00CA721D">
      <w:pPr>
        <w:jc w:val="both"/>
        <w:rPr>
          <w:b/>
          <w:sz w:val="20"/>
          <w:szCs w:val="20"/>
          <w:u w:val="single"/>
        </w:rPr>
      </w:pPr>
      <w:r w:rsidRPr="00293294">
        <w:rPr>
          <w:b/>
          <w:sz w:val="20"/>
          <w:szCs w:val="20"/>
          <w:u w:val="single"/>
        </w:rPr>
        <w:t>Ejercicio 2020</w:t>
      </w:r>
    </w:p>
    <w:p w14:paraId="3F795ADD" w14:textId="77777777" w:rsidR="00CA721D" w:rsidRPr="00293294" w:rsidRDefault="00CA721D" w:rsidP="00CA721D">
      <w:pPr>
        <w:jc w:val="both"/>
        <w:rPr>
          <w:b/>
          <w:sz w:val="20"/>
          <w:szCs w:val="20"/>
          <w:u w:val="single"/>
        </w:rPr>
      </w:pPr>
    </w:p>
    <w:tbl>
      <w:tblPr>
        <w:tblW w:w="0" w:type="auto"/>
        <w:jc w:val="center"/>
        <w:tblLayout w:type="fixed"/>
        <w:tblCellMar>
          <w:left w:w="42" w:type="dxa"/>
          <w:right w:w="42" w:type="dxa"/>
        </w:tblCellMar>
        <w:tblLook w:val="0000" w:firstRow="0" w:lastRow="0" w:firstColumn="0" w:lastColumn="0" w:noHBand="0" w:noVBand="0"/>
      </w:tblPr>
      <w:tblGrid>
        <w:gridCol w:w="3661"/>
        <w:gridCol w:w="1007"/>
        <w:gridCol w:w="1384"/>
        <w:gridCol w:w="1260"/>
      </w:tblGrid>
      <w:tr w:rsidR="00CA721D" w:rsidRPr="00293294" w14:paraId="230D013D" w14:textId="77777777" w:rsidTr="00110F5C">
        <w:trPr>
          <w:cantSplit/>
          <w:trHeight w:val="170"/>
          <w:jc w:val="center"/>
        </w:trPr>
        <w:tc>
          <w:tcPr>
            <w:tcW w:w="3661" w:type="dxa"/>
            <w:tcBorders>
              <w:right w:val="single" w:sz="4" w:space="0" w:color="auto"/>
            </w:tcBorders>
          </w:tcPr>
          <w:p w14:paraId="2D9F9359" w14:textId="77777777" w:rsidR="00CA721D" w:rsidRPr="00293294" w:rsidRDefault="00CA721D" w:rsidP="00110F5C">
            <w:pPr>
              <w:pStyle w:val="Tabladeilustraciones"/>
              <w:keepNext/>
            </w:pPr>
          </w:p>
        </w:tc>
        <w:tc>
          <w:tcPr>
            <w:tcW w:w="3651" w:type="dxa"/>
            <w:gridSpan w:val="3"/>
            <w:tcBorders>
              <w:top w:val="single" w:sz="4" w:space="0" w:color="auto"/>
              <w:left w:val="single" w:sz="4" w:space="0" w:color="auto"/>
              <w:bottom w:val="single" w:sz="4" w:space="0" w:color="auto"/>
              <w:right w:val="single" w:sz="4" w:space="0" w:color="auto"/>
            </w:tcBorders>
          </w:tcPr>
          <w:p w14:paraId="5DE4869C" w14:textId="77777777" w:rsidR="00CA721D" w:rsidRPr="00293294" w:rsidRDefault="00CA721D" w:rsidP="00110F5C">
            <w:pPr>
              <w:pStyle w:val="Tabladeilustraciones"/>
              <w:keepNext/>
              <w:jc w:val="center"/>
            </w:pPr>
            <w:r w:rsidRPr="00293294">
              <w:t>Euros</w:t>
            </w:r>
          </w:p>
        </w:tc>
      </w:tr>
      <w:tr w:rsidR="00CA721D" w:rsidRPr="00293294" w14:paraId="6AEBA968" w14:textId="77777777" w:rsidTr="00110F5C">
        <w:trPr>
          <w:cantSplit/>
          <w:trHeight w:val="170"/>
          <w:jc w:val="center"/>
        </w:trPr>
        <w:tc>
          <w:tcPr>
            <w:tcW w:w="3661" w:type="dxa"/>
            <w:tcBorders>
              <w:bottom w:val="single" w:sz="4" w:space="0" w:color="auto"/>
              <w:right w:val="single" w:sz="4" w:space="0" w:color="auto"/>
            </w:tcBorders>
          </w:tcPr>
          <w:p w14:paraId="44F55096" w14:textId="77777777" w:rsidR="00CA721D" w:rsidRPr="00293294" w:rsidRDefault="00CA721D" w:rsidP="00110F5C">
            <w:pPr>
              <w:pStyle w:val="Tabladeilustraciones"/>
              <w:keepNext/>
              <w:jc w:val="center"/>
              <w:rPr>
                <w:b/>
              </w:rPr>
            </w:pPr>
          </w:p>
        </w:tc>
        <w:tc>
          <w:tcPr>
            <w:tcW w:w="1007" w:type="dxa"/>
            <w:tcBorders>
              <w:top w:val="single" w:sz="4" w:space="0" w:color="auto"/>
              <w:left w:val="single" w:sz="4" w:space="0" w:color="auto"/>
              <w:bottom w:val="single" w:sz="4" w:space="0" w:color="auto"/>
              <w:right w:val="single" w:sz="4" w:space="0" w:color="auto"/>
            </w:tcBorders>
          </w:tcPr>
          <w:p w14:paraId="122152A7" w14:textId="77777777" w:rsidR="00CA721D" w:rsidRPr="00293294" w:rsidRDefault="00CA721D" w:rsidP="00110F5C">
            <w:pPr>
              <w:pStyle w:val="Tabladeilustraciones"/>
              <w:keepNext/>
              <w:jc w:val="center"/>
            </w:pPr>
            <w:r w:rsidRPr="00293294">
              <w:t>Aumentos</w:t>
            </w:r>
          </w:p>
        </w:tc>
        <w:tc>
          <w:tcPr>
            <w:tcW w:w="1384" w:type="dxa"/>
            <w:tcBorders>
              <w:top w:val="single" w:sz="4" w:space="0" w:color="auto"/>
              <w:left w:val="single" w:sz="4" w:space="0" w:color="auto"/>
              <w:bottom w:val="single" w:sz="4" w:space="0" w:color="auto"/>
              <w:right w:val="single" w:sz="4" w:space="0" w:color="auto"/>
            </w:tcBorders>
          </w:tcPr>
          <w:p w14:paraId="236C8113" w14:textId="77777777" w:rsidR="00CA721D" w:rsidRPr="00293294" w:rsidRDefault="00CA721D" w:rsidP="00110F5C">
            <w:pPr>
              <w:pStyle w:val="Tabladeilustraciones"/>
              <w:keepNext/>
              <w:jc w:val="center"/>
            </w:pPr>
            <w:r w:rsidRPr="00293294">
              <w:t>Disminuciones</w:t>
            </w:r>
          </w:p>
        </w:tc>
        <w:tc>
          <w:tcPr>
            <w:tcW w:w="1260" w:type="dxa"/>
            <w:tcBorders>
              <w:top w:val="single" w:sz="4" w:space="0" w:color="auto"/>
              <w:left w:val="single" w:sz="4" w:space="0" w:color="auto"/>
              <w:bottom w:val="single" w:sz="4" w:space="0" w:color="auto"/>
              <w:right w:val="single" w:sz="4" w:space="0" w:color="auto"/>
            </w:tcBorders>
          </w:tcPr>
          <w:p w14:paraId="14A0766B" w14:textId="77777777" w:rsidR="00CA721D" w:rsidRPr="00293294" w:rsidRDefault="00CA721D" w:rsidP="00110F5C">
            <w:pPr>
              <w:pStyle w:val="Tabladeilustraciones"/>
              <w:keepNext/>
              <w:jc w:val="center"/>
            </w:pPr>
            <w:r w:rsidRPr="00293294">
              <w:t>Total</w:t>
            </w:r>
          </w:p>
        </w:tc>
      </w:tr>
      <w:tr w:rsidR="00CA721D" w:rsidRPr="00293294" w14:paraId="2A2E77D7" w14:textId="77777777" w:rsidTr="00110F5C">
        <w:trPr>
          <w:cantSplit/>
          <w:trHeight w:val="170"/>
          <w:jc w:val="center"/>
        </w:trPr>
        <w:tc>
          <w:tcPr>
            <w:tcW w:w="3661" w:type="dxa"/>
            <w:tcBorders>
              <w:top w:val="single" w:sz="4" w:space="0" w:color="auto"/>
              <w:left w:val="single" w:sz="4" w:space="0" w:color="auto"/>
              <w:bottom w:val="single" w:sz="4" w:space="0" w:color="auto"/>
              <w:right w:val="single" w:sz="4" w:space="0" w:color="auto"/>
            </w:tcBorders>
          </w:tcPr>
          <w:p w14:paraId="6DCEE002" w14:textId="77777777" w:rsidR="00CA721D" w:rsidRPr="00293294" w:rsidRDefault="00CA721D" w:rsidP="00110F5C">
            <w:pPr>
              <w:pStyle w:val="Tabladeilustraciones"/>
              <w:keepNext/>
              <w:rPr>
                <w:b/>
              </w:rPr>
            </w:pPr>
            <w:r w:rsidRPr="00293294">
              <w:rPr>
                <w:b/>
              </w:rPr>
              <w:t>Resultado contable antes de impuestos</w:t>
            </w:r>
          </w:p>
        </w:tc>
        <w:tc>
          <w:tcPr>
            <w:tcW w:w="1007" w:type="dxa"/>
            <w:tcBorders>
              <w:top w:val="single" w:sz="4" w:space="0" w:color="auto"/>
              <w:left w:val="single" w:sz="4" w:space="0" w:color="auto"/>
              <w:bottom w:val="single" w:sz="4" w:space="0" w:color="auto"/>
              <w:right w:val="single" w:sz="4" w:space="0" w:color="auto"/>
            </w:tcBorders>
          </w:tcPr>
          <w:p w14:paraId="347495DA" w14:textId="77777777" w:rsidR="00CA721D" w:rsidRPr="00293294" w:rsidRDefault="00CA721D" w:rsidP="00110F5C">
            <w:pPr>
              <w:pStyle w:val="Tabladeilustraciones"/>
              <w:keepNext/>
              <w:jc w:val="center"/>
            </w:pPr>
          </w:p>
        </w:tc>
        <w:tc>
          <w:tcPr>
            <w:tcW w:w="1384" w:type="dxa"/>
            <w:tcBorders>
              <w:top w:val="single" w:sz="4" w:space="0" w:color="auto"/>
              <w:left w:val="single" w:sz="4" w:space="0" w:color="auto"/>
              <w:bottom w:val="single" w:sz="4" w:space="0" w:color="auto"/>
              <w:right w:val="single" w:sz="4" w:space="0" w:color="auto"/>
            </w:tcBorders>
          </w:tcPr>
          <w:p w14:paraId="77A5A009" w14:textId="77777777" w:rsidR="00CA721D" w:rsidRPr="00293294" w:rsidRDefault="00CA721D" w:rsidP="00110F5C">
            <w:pPr>
              <w:pStyle w:val="Tabladeilustraciones"/>
              <w:keepNext/>
              <w:jc w:val="center"/>
            </w:pPr>
          </w:p>
        </w:tc>
        <w:tc>
          <w:tcPr>
            <w:tcW w:w="1260" w:type="dxa"/>
            <w:tcBorders>
              <w:top w:val="single" w:sz="4" w:space="0" w:color="auto"/>
              <w:left w:val="single" w:sz="4" w:space="0" w:color="auto"/>
              <w:bottom w:val="single" w:sz="4" w:space="0" w:color="auto"/>
              <w:right w:val="single" w:sz="4" w:space="0" w:color="auto"/>
            </w:tcBorders>
          </w:tcPr>
          <w:p w14:paraId="27F9834A" w14:textId="1F237C55" w:rsidR="00CA721D" w:rsidRPr="00293294" w:rsidRDefault="002E1E47" w:rsidP="00110F5C">
            <w:pPr>
              <w:pStyle w:val="Tabladeilustraciones"/>
              <w:keepNext/>
              <w:jc w:val="center"/>
              <w:rPr>
                <w:b/>
              </w:rPr>
            </w:pPr>
            <w:r>
              <w:rPr>
                <w:b/>
              </w:rPr>
              <w:t>-</w:t>
            </w:r>
            <w:r w:rsidR="00DA60CB" w:rsidRPr="00293294">
              <w:rPr>
                <w:b/>
              </w:rPr>
              <w:t>181.2</w:t>
            </w:r>
            <w:r w:rsidR="00E554D9">
              <w:rPr>
                <w:b/>
              </w:rPr>
              <w:t>31,13</w:t>
            </w:r>
          </w:p>
        </w:tc>
      </w:tr>
      <w:tr w:rsidR="00CA721D" w:rsidRPr="00293294" w14:paraId="0CB2BDA2" w14:textId="77777777" w:rsidTr="00110F5C">
        <w:trPr>
          <w:cantSplit/>
          <w:trHeight w:val="170"/>
          <w:jc w:val="center"/>
        </w:trPr>
        <w:tc>
          <w:tcPr>
            <w:tcW w:w="3661" w:type="dxa"/>
            <w:tcBorders>
              <w:top w:val="single" w:sz="4" w:space="0" w:color="auto"/>
              <w:left w:val="single" w:sz="4" w:space="0" w:color="auto"/>
              <w:right w:val="single" w:sz="4" w:space="0" w:color="auto"/>
            </w:tcBorders>
          </w:tcPr>
          <w:p w14:paraId="53B8314C" w14:textId="4C24A5C7" w:rsidR="00CA721D" w:rsidRPr="00293294" w:rsidRDefault="00CA721D" w:rsidP="00110F5C">
            <w:pPr>
              <w:pStyle w:val="Tabladeilustraciones"/>
              <w:keepNext/>
            </w:pPr>
            <w:r w:rsidRPr="00293294">
              <w:t>Diferencias permanentes –</w:t>
            </w:r>
            <w:r w:rsidR="00293294" w:rsidRPr="00293294">
              <w:t xml:space="preserve"> </w:t>
            </w:r>
          </w:p>
          <w:p w14:paraId="5C48014E" w14:textId="38957117" w:rsidR="00CA721D" w:rsidRPr="00293294" w:rsidRDefault="00293294" w:rsidP="00110F5C">
            <w:pPr>
              <w:rPr>
                <w:sz w:val="20"/>
                <w:szCs w:val="20"/>
              </w:rPr>
            </w:pPr>
            <w:r w:rsidRPr="00293294">
              <w:rPr>
                <w:sz w:val="20"/>
                <w:szCs w:val="20"/>
              </w:rPr>
              <w:t>Reserva Nivelaci</w:t>
            </w:r>
            <w:r w:rsidR="00437CD5">
              <w:rPr>
                <w:sz w:val="20"/>
                <w:szCs w:val="20"/>
              </w:rPr>
              <w:t>ó</w:t>
            </w:r>
            <w:r w:rsidRPr="00293294">
              <w:rPr>
                <w:sz w:val="20"/>
                <w:szCs w:val="20"/>
              </w:rPr>
              <w:t>n</w:t>
            </w:r>
          </w:p>
        </w:tc>
        <w:tc>
          <w:tcPr>
            <w:tcW w:w="1007" w:type="dxa"/>
            <w:tcBorders>
              <w:top w:val="single" w:sz="4" w:space="0" w:color="auto"/>
              <w:left w:val="single" w:sz="4" w:space="0" w:color="auto"/>
              <w:right w:val="single" w:sz="4" w:space="0" w:color="auto"/>
            </w:tcBorders>
          </w:tcPr>
          <w:p w14:paraId="5166FF3A" w14:textId="77777777" w:rsidR="00CA721D" w:rsidRPr="00293294" w:rsidRDefault="00CA721D" w:rsidP="00110F5C">
            <w:pPr>
              <w:jc w:val="center"/>
              <w:rPr>
                <w:sz w:val="20"/>
                <w:szCs w:val="20"/>
              </w:rPr>
            </w:pPr>
            <w:r w:rsidRPr="00293294">
              <w:rPr>
                <w:sz w:val="20"/>
                <w:szCs w:val="20"/>
              </w:rPr>
              <w:t>-</w:t>
            </w:r>
          </w:p>
          <w:p w14:paraId="775A3181" w14:textId="5ABAD6AF" w:rsidR="00CA721D" w:rsidRPr="00293294" w:rsidRDefault="00293294" w:rsidP="00110F5C">
            <w:pPr>
              <w:jc w:val="center"/>
              <w:rPr>
                <w:sz w:val="20"/>
                <w:szCs w:val="20"/>
              </w:rPr>
            </w:pPr>
            <w:r w:rsidRPr="00293294">
              <w:rPr>
                <w:sz w:val="20"/>
                <w:szCs w:val="20"/>
              </w:rPr>
              <w:t>33.041,14</w:t>
            </w:r>
          </w:p>
        </w:tc>
        <w:tc>
          <w:tcPr>
            <w:tcW w:w="1384" w:type="dxa"/>
            <w:tcBorders>
              <w:top w:val="single" w:sz="4" w:space="0" w:color="auto"/>
              <w:left w:val="single" w:sz="4" w:space="0" w:color="auto"/>
              <w:right w:val="single" w:sz="4" w:space="0" w:color="auto"/>
            </w:tcBorders>
          </w:tcPr>
          <w:p w14:paraId="1A9278B8" w14:textId="77777777" w:rsidR="00CA721D" w:rsidRPr="00293294" w:rsidRDefault="00CA721D" w:rsidP="00110F5C">
            <w:pPr>
              <w:jc w:val="center"/>
              <w:rPr>
                <w:sz w:val="20"/>
                <w:szCs w:val="20"/>
              </w:rPr>
            </w:pPr>
            <w:r w:rsidRPr="00293294">
              <w:rPr>
                <w:sz w:val="20"/>
                <w:szCs w:val="20"/>
              </w:rPr>
              <w:t>-</w:t>
            </w:r>
          </w:p>
        </w:tc>
        <w:tc>
          <w:tcPr>
            <w:tcW w:w="1260" w:type="dxa"/>
            <w:tcBorders>
              <w:top w:val="single" w:sz="4" w:space="0" w:color="auto"/>
              <w:left w:val="single" w:sz="4" w:space="0" w:color="auto"/>
              <w:right w:val="single" w:sz="4" w:space="0" w:color="auto"/>
            </w:tcBorders>
          </w:tcPr>
          <w:p w14:paraId="002DF2A1" w14:textId="77777777" w:rsidR="00CA721D" w:rsidRPr="00293294" w:rsidRDefault="00CA721D" w:rsidP="00110F5C">
            <w:pPr>
              <w:jc w:val="center"/>
              <w:rPr>
                <w:sz w:val="20"/>
                <w:szCs w:val="20"/>
              </w:rPr>
            </w:pPr>
            <w:r w:rsidRPr="00293294">
              <w:rPr>
                <w:sz w:val="20"/>
                <w:szCs w:val="20"/>
              </w:rPr>
              <w:t>--</w:t>
            </w:r>
          </w:p>
          <w:p w14:paraId="7DC1BE69" w14:textId="77777777" w:rsidR="00CA721D" w:rsidRPr="00293294" w:rsidRDefault="00CA721D" w:rsidP="00110F5C">
            <w:pPr>
              <w:jc w:val="center"/>
              <w:rPr>
                <w:sz w:val="20"/>
                <w:szCs w:val="20"/>
              </w:rPr>
            </w:pPr>
            <w:r w:rsidRPr="00293294">
              <w:rPr>
                <w:sz w:val="20"/>
                <w:szCs w:val="20"/>
              </w:rPr>
              <w:t>-</w:t>
            </w:r>
          </w:p>
        </w:tc>
      </w:tr>
      <w:tr w:rsidR="00CA721D" w:rsidRPr="00293294" w14:paraId="3E884D24" w14:textId="77777777" w:rsidTr="00110F5C">
        <w:trPr>
          <w:cantSplit/>
          <w:trHeight w:val="170"/>
          <w:jc w:val="center"/>
        </w:trPr>
        <w:tc>
          <w:tcPr>
            <w:tcW w:w="3661" w:type="dxa"/>
            <w:tcBorders>
              <w:left w:val="single" w:sz="4" w:space="0" w:color="auto"/>
              <w:bottom w:val="single" w:sz="4" w:space="0" w:color="auto"/>
              <w:right w:val="single" w:sz="4" w:space="0" w:color="auto"/>
            </w:tcBorders>
          </w:tcPr>
          <w:p w14:paraId="4021988A" w14:textId="1F7CEE46" w:rsidR="00CA721D" w:rsidRPr="00293294" w:rsidRDefault="00CA721D" w:rsidP="00110F5C">
            <w:pPr>
              <w:pStyle w:val="Tabladeilustraciones"/>
              <w:keepNext/>
            </w:pPr>
          </w:p>
        </w:tc>
        <w:tc>
          <w:tcPr>
            <w:tcW w:w="1007" w:type="dxa"/>
            <w:tcBorders>
              <w:left w:val="single" w:sz="4" w:space="0" w:color="auto"/>
              <w:bottom w:val="single" w:sz="4" w:space="0" w:color="auto"/>
              <w:right w:val="single" w:sz="4" w:space="0" w:color="auto"/>
            </w:tcBorders>
          </w:tcPr>
          <w:p w14:paraId="63E5B1CF" w14:textId="77777777" w:rsidR="00CA721D" w:rsidRPr="00293294" w:rsidRDefault="00CA721D" w:rsidP="00110F5C">
            <w:pPr>
              <w:pStyle w:val="Tabladeilustraciones"/>
              <w:keepNext/>
              <w:jc w:val="center"/>
            </w:pPr>
          </w:p>
        </w:tc>
        <w:tc>
          <w:tcPr>
            <w:tcW w:w="1384" w:type="dxa"/>
            <w:tcBorders>
              <w:left w:val="single" w:sz="4" w:space="0" w:color="auto"/>
              <w:bottom w:val="single" w:sz="4" w:space="0" w:color="auto"/>
              <w:right w:val="single" w:sz="4" w:space="0" w:color="auto"/>
            </w:tcBorders>
          </w:tcPr>
          <w:p w14:paraId="7DE33D91" w14:textId="77777777" w:rsidR="00CA721D" w:rsidRPr="00293294" w:rsidRDefault="00CA721D" w:rsidP="00110F5C">
            <w:pPr>
              <w:pStyle w:val="Tabladeilustraciones"/>
              <w:keepNext/>
              <w:jc w:val="center"/>
            </w:pPr>
          </w:p>
        </w:tc>
        <w:tc>
          <w:tcPr>
            <w:tcW w:w="1260" w:type="dxa"/>
            <w:tcBorders>
              <w:left w:val="single" w:sz="4" w:space="0" w:color="auto"/>
              <w:bottom w:val="single" w:sz="4" w:space="0" w:color="auto"/>
              <w:right w:val="single" w:sz="4" w:space="0" w:color="auto"/>
            </w:tcBorders>
          </w:tcPr>
          <w:p w14:paraId="11BDEF0C" w14:textId="77777777" w:rsidR="00CA721D" w:rsidRPr="00293294" w:rsidRDefault="00CA721D" w:rsidP="00110F5C">
            <w:pPr>
              <w:pStyle w:val="Tabladeilustraciones"/>
              <w:keepNext/>
              <w:jc w:val="center"/>
            </w:pPr>
            <w:r w:rsidRPr="00293294">
              <w:t>-</w:t>
            </w:r>
          </w:p>
        </w:tc>
      </w:tr>
      <w:tr w:rsidR="00CA721D" w:rsidRPr="00F315F5" w14:paraId="037DF03D" w14:textId="77777777" w:rsidTr="00110F5C">
        <w:trPr>
          <w:cantSplit/>
          <w:trHeight w:val="170"/>
          <w:jc w:val="center"/>
        </w:trPr>
        <w:tc>
          <w:tcPr>
            <w:tcW w:w="3661" w:type="dxa"/>
            <w:tcBorders>
              <w:top w:val="single" w:sz="4" w:space="0" w:color="auto"/>
              <w:left w:val="single" w:sz="4" w:space="0" w:color="auto"/>
              <w:bottom w:val="single" w:sz="4" w:space="0" w:color="auto"/>
              <w:right w:val="single" w:sz="4" w:space="0" w:color="auto"/>
            </w:tcBorders>
          </w:tcPr>
          <w:p w14:paraId="0E04373F" w14:textId="77777777" w:rsidR="00CA721D" w:rsidRPr="00293294" w:rsidRDefault="00CA721D" w:rsidP="00110F5C">
            <w:pPr>
              <w:pStyle w:val="Tabladeilustraciones"/>
              <w:keepNext/>
              <w:rPr>
                <w:b/>
              </w:rPr>
            </w:pPr>
            <w:r w:rsidRPr="00293294">
              <w:rPr>
                <w:b/>
              </w:rPr>
              <w:t>Base imponible fiscal</w:t>
            </w:r>
          </w:p>
        </w:tc>
        <w:tc>
          <w:tcPr>
            <w:tcW w:w="1007" w:type="dxa"/>
            <w:tcBorders>
              <w:top w:val="single" w:sz="4" w:space="0" w:color="auto"/>
              <w:left w:val="single" w:sz="4" w:space="0" w:color="auto"/>
            </w:tcBorders>
          </w:tcPr>
          <w:p w14:paraId="52C82535" w14:textId="77777777" w:rsidR="00CA721D" w:rsidRPr="00293294" w:rsidRDefault="00CA721D" w:rsidP="00110F5C">
            <w:pPr>
              <w:pStyle w:val="Tabladeilustraciones"/>
              <w:keepNext/>
              <w:jc w:val="center"/>
            </w:pPr>
          </w:p>
        </w:tc>
        <w:tc>
          <w:tcPr>
            <w:tcW w:w="1384" w:type="dxa"/>
            <w:tcBorders>
              <w:top w:val="single" w:sz="4" w:space="0" w:color="auto"/>
              <w:right w:val="single" w:sz="4" w:space="0" w:color="auto"/>
            </w:tcBorders>
          </w:tcPr>
          <w:p w14:paraId="63483A5E" w14:textId="77777777" w:rsidR="00CA721D" w:rsidRPr="00293294" w:rsidRDefault="00CA721D" w:rsidP="00110F5C">
            <w:pPr>
              <w:pStyle w:val="Tabladeilustraciones"/>
              <w:keepNext/>
              <w:jc w:val="center"/>
            </w:pPr>
          </w:p>
        </w:tc>
        <w:tc>
          <w:tcPr>
            <w:tcW w:w="1260" w:type="dxa"/>
            <w:tcBorders>
              <w:top w:val="single" w:sz="4" w:space="0" w:color="auto"/>
              <w:left w:val="single" w:sz="4" w:space="0" w:color="auto"/>
              <w:bottom w:val="single" w:sz="4" w:space="0" w:color="auto"/>
              <w:right w:val="single" w:sz="4" w:space="0" w:color="auto"/>
            </w:tcBorders>
          </w:tcPr>
          <w:p w14:paraId="64F4195D" w14:textId="57E4112E" w:rsidR="00CA721D" w:rsidRPr="00F315F5" w:rsidRDefault="002E1E47" w:rsidP="00110F5C">
            <w:pPr>
              <w:pStyle w:val="Tabladeilustraciones"/>
              <w:keepNext/>
              <w:jc w:val="center"/>
              <w:rPr>
                <w:b/>
              </w:rPr>
            </w:pPr>
            <w:r>
              <w:rPr>
                <w:b/>
              </w:rPr>
              <w:t>-</w:t>
            </w:r>
            <w:r w:rsidR="00293294" w:rsidRPr="00293294">
              <w:rPr>
                <w:b/>
              </w:rPr>
              <w:t>148.</w:t>
            </w:r>
            <w:r w:rsidR="00E554D9">
              <w:rPr>
                <w:b/>
              </w:rPr>
              <w:t>189,99</w:t>
            </w:r>
          </w:p>
        </w:tc>
      </w:tr>
      <w:tr w:rsidR="00CA721D" w:rsidRPr="00F315F5" w14:paraId="6F02DA03" w14:textId="77777777" w:rsidTr="00110F5C">
        <w:trPr>
          <w:cantSplit/>
          <w:trHeight w:val="170"/>
          <w:jc w:val="center"/>
        </w:trPr>
        <w:tc>
          <w:tcPr>
            <w:tcW w:w="3661" w:type="dxa"/>
            <w:tcBorders>
              <w:top w:val="single" w:sz="4" w:space="0" w:color="auto"/>
              <w:left w:val="single" w:sz="4" w:space="0" w:color="auto"/>
              <w:bottom w:val="single" w:sz="4" w:space="0" w:color="auto"/>
              <w:right w:val="single" w:sz="4" w:space="0" w:color="auto"/>
            </w:tcBorders>
          </w:tcPr>
          <w:p w14:paraId="1175F369" w14:textId="77777777" w:rsidR="00CA721D" w:rsidRPr="00F315F5" w:rsidRDefault="00CA721D" w:rsidP="00110F5C">
            <w:pPr>
              <w:pStyle w:val="Tabladeilustraciones"/>
              <w:keepNext/>
              <w:rPr>
                <w:b/>
              </w:rPr>
            </w:pPr>
          </w:p>
        </w:tc>
        <w:tc>
          <w:tcPr>
            <w:tcW w:w="1007" w:type="dxa"/>
            <w:tcBorders>
              <w:top w:val="single" w:sz="4" w:space="0" w:color="auto"/>
              <w:left w:val="single" w:sz="4" w:space="0" w:color="auto"/>
            </w:tcBorders>
          </w:tcPr>
          <w:p w14:paraId="7507ACCD" w14:textId="77777777" w:rsidR="00CA721D" w:rsidRPr="00F315F5" w:rsidRDefault="00CA721D" w:rsidP="00110F5C">
            <w:pPr>
              <w:pStyle w:val="Tabladeilustraciones"/>
              <w:keepNext/>
              <w:jc w:val="center"/>
            </w:pPr>
          </w:p>
        </w:tc>
        <w:tc>
          <w:tcPr>
            <w:tcW w:w="1384" w:type="dxa"/>
            <w:tcBorders>
              <w:top w:val="single" w:sz="4" w:space="0" w:color="auto"/>
              <w:right w:val="single" w:sz="4" w:space="0" w:color="auto"/>
            </w:tcBorders>
          </w:tcPr>
          <w:p w14:paraId="427D3460" w14:textId="77777777" w:rsidR="00CA721D" w:rsidRPr="00F315F5" w:rsidRDefault="00CA721D" w:rsidP="00110F5C">
            <w:pPr>
              <w:pStyle w:val="Tabladeilustraciones"/>
              <w:keepNext/>
              <w:jc w:val="center"/>
            </w:pPr>
          </w:p>
        </w:tc>
        <w:tc>
          <w:tcPr>
            <w:tcW w:w="1260" w:type="dxa"/>
            <w:tcBorders>
              <w:top w:val="single" w:sz="4" w:space="0" w:color="auto"/>
              <w:left w:val="single" w:sz="4" w:space="0" w:color="auto"/>
              <w:bottom w:val="single" w:sz="4" w:space="0" w:color="auto"/>
              <w:right w:val="single" w:sz="4" w:space="0" w:color="auto"/>
            </w:tcBorders>
          </w:tcPr>
          <w:p w14:paraId="584F231C" w14:textId="59E8BCAF" w:rsidR="00CA721D" w:rsidRPr="00F315F5" w:rsidRDefault="00CA721D" w:rsidP="00110F5C">
            <w:pPr>
              <w:pStyle w:val="Tabladeilustraciones"/>
              <w:keepNext/>
              <w:jc w:val="center"/>
              <w:rPr>
                <w:b/>
              </w:rPr>
            </w:pPr>
          </w:p>
        </w:tc>
      </w:tr>
    </w:tbl>
    <w:p w14:paraId="5B72940F" w14:textId="77777777" w:rsidR="00CA721D" w:rsidRPr="00F315F5" w:rsidRDefault="00CA721D" w:rsidP="00CA721D">
      <w:pPr>
        <w:jc w:val="both"/>
        <w:rPr>
          <w:b/>
          <w:szCs w:val="24"/>
          <w:u w:val="single"/>
        </w:rPr>
      </w:pPr>
    </w:p>
    <w:p w14:paraId="2131D703" w14:textId="10124D2F" w:rsidR="00CA721D" w:rsidRDefault="00CA721D" w:rsidP="00E238A6">
      <w:pPr>
        <w:pStyle w:val="Default"/>
        <w:jc w:val="both"/>
        <w:rPr>
          <w:rFonts w:ascii="Times New Roman" w:hAnsi="Times New Roman" w:cs="Times New Roman"/>
          <w:iCs/>
          <w:color w:val="C00000"/>
        </w:rPr>
      </w:pPr>
    </w:p>
    <w:p w14:paraId="69333998" w14:textId="77777777" w:rsidR="006A17A6" w:rsidRPr="00BF6212" w:rsidRDefault="00133CAA" w:rsidP="00133CAA">
      <w:pPr>
        <w:jc w:val="both"/>
        <w:rPr>
          <w:szCs w:val="24"/>
        </w:rPr>
      </w:pPr>
      <w:r w:rsidRPr="00BF6212">
        <w:rPr>
          <w:szCs w:val="24"/>
        </w:rPr>
        <w:t xml:space="preserve">El Impuesto sobre Sociedades se calcula a partir del resultado económico o contable, obtenido por la aplicación de principios de contabilidad generalmente aceptados, que no necesariamente ha de coincidir con el resultado fiscal, entendido este como la base imponible del impuesto, es decir, </w:t>
      </w:r>
      <w:r w:rsidR="00E238A6" w:rsidRPr="00BF6212">
        <w:rPr>
          <w:iCs/>
        </w:rPr>
        <w:t>se calcula en función del resultado del ejercicio, considerándose las diferencias existentes entre éste y la base imponible del impuesto, distinguiéndose entre las de carácter temporal y permanente, a efectos de determinar el Impuesto sobre Sociedades devengado en el ejercicio</w:t>
      </w:r>
      <w:r w:rsidR="006A17A6" w:rsidRPr="00BF6212">
        <w:rPr>
          <w:iCs/>
        </w:rPr>
        <w:t>.</w:t>
      </w:r>
    </w:p>
    <w:p w14:paraId="6D356B7C" w14:textId="77777777" w:rsidR="00133CAA" w:rsidRPr="00BF6212" w:rsidRDefault="00133CAA" w:rsidP="00E238A6">
      <w:pPr>
        <w:pStyle w:val="Default"/>
        <w:jc w:val="both"/>
        <w:rPr>
          <w:rFonts w:ascii="Times New Roman" w:hAnsi="Times New Roman" w:cs="Times New Roman"/>
          <w:iCs/>
          <w:color w:val="auto"/>
        </w:rPr>
      </w:pPr>
    </w:p>
    <w:p w14:paraId="35696A23" w14:textId="77777777" w:rsidR="00E238A6" w:rsidRPr="00BF6212" w:rsidRDefault="00E238A6" w:rsidP="00E238A6">
      <w:pPr>
        <w:pStyle w:val="Default"/>
        <w:jc w:val="both"/>
        <w:rPr>
          <w:rFonts w:ascii="Times New Roman" w:hAnsi="Times New Roman" w:cs="Times New Roman"/>
          <w:color w:val="auto"/>
        </w:rPr>
      </w:pPr>
      <w:r w:rsidRPr="00BF6212">
        <w:rPr>
          <w:rFonts w:ascii="Times New Roman" w:hAnsi="Times New Roman" w:cs="Times New Roman"/>
          <w:iCs/>
          <w:color w:val="auto"/>
        </w:rPr>
        <w:t xml:space="preserve">Las diferencias entre el Impuesto sobre Sociedades a pagar y el gasto devengado por dicho Impuesto, que comprende la parte relativa al gasto o ingreso por el impuesto corriente y la parte correspondiente al gasto o ingreso por impuesto diferido, se registran como activos por impuesto diferido o pasivos por diferencias temporarias imponibles, según corresponda. </w:t>
      </w:r>
    </w:p>
    <w:p w14:paraId="28197E62" w14:textId="77777777" w:rsidR="00133CAA" w:rsidRPr="00BF6212" w:rsidRDefault="00133CAA" w:rsidP="00E238A6">
      <w:pPr>
        <w:pStyle w:val="Default"/>
        <w:jc w:val="both"/>
        <w:rPr>
          <w:rFonts w:ascii="Times New Roman" w:hAnsi="Times New Roman" w:cs="Times New Roman"/>
          <w:iCs/>
          <w:color w:val="auto"/>
        </w:rPr>
      </w:pPr>
    </w:p>
    <w:p w14:paraId="693B9B6F" w14:textId="77777777" w:rsidR="003E1860" w:rsidRDefault="003E1860" w:rsidP="00E238A6">
      <w:pPr>
        <w:pStyle w:val="Default"/>
        <w:jc w:val="both"/>
        <w:rPr>
          <w:rFonts w:ascii="Times New Roman" w:hAnsi="Times New Roman" w:cs="Times New Roman"/>
          <w:iCs/>
          <w:color w:val="auto"/>
        </w:rPr>
      </w:pPr>
    </w:p>
    <w:p w14:paraId="441A23E4" w14:textId="57C63066" w:rsidR="006906A8" w:rsidRDefault="00E238A6" w:rsidP="00E238A6">
      <w:pPr>
        <w:pStyle w:val="Default"/>
        <w:jc w:val="both"/>
        <w:rPr>
          <w:rFonts w:ascii="Times New Roman" w:hAnsi="Times New Roman" w:cs="Times New Roman"/>
          <w:iCs/>
          <w:color w:val="auto"/>
        </w:rPr>
      </w:pPr>
      <w:r w:rsidRPr="00BF6212">
        <w:rPr>
          <w:rFonts w:ascii="Times New Roman" w:hAnsi="Times New Roman" w:cs="Times New Roman"/>
          <w:iCs/>
          <w:color w:val="auto"/>
        </w:rPr>
        <w:t xml:space="preserve">El impuesto corriente es el resultado de la liquidación fiscal del Impuesto sobre el beneficio del ejercicio. Las deducciones y otras ventajas fiscales en la cuota del Impuesto, excluidas </w:t>
      </w:r>
    </w:p>
    <w:p w14:paraId="559A1307" w14:textId="77777777" w:rsidR="006906A8" w:rsidRDefault="006906A8" w:rsidP="00E238A6">
      <w:pPr>
        <w:pStyle w:val="Default"/>
        <w:jc w:val="both"/>
        <w:rPr>
          <w:rFonts w:ascii="Times New Roman" w:hAnsi="Times New Roman" w:cs="Times New Roman"/>
          <w:iCs/>
          <w:color w:val="auto"/>
        </w:rPr>
      </w:pPr>
    </w:p>
    <w:p w14:paraId="75123BE2" w14:textId="39DFB11A" w:rsidR="00E238A6" w:rsidRPr="00BF6212" w:rsidRDefault="00E238A6" w:rsidP="00E238A6">
      <w:pPr>
        <w:pStyle w:val="Default"/>
        <w:jc w:val="both"/>
        <w:rPr>
          <w:rFonts w:ascii="Times New Roman" w:hAnsi="Times New Roman" w:cs="Times New Roman"/>
          <w:color w:val="auto"/>
        </w:rPr>
      </w:pPr>
      <w:r w:rsidRPr="00BF6212">
        <w:rPr>
          <w:rFonts w:ascii="Times New Roman" w:hAnsi="Times New Roman" w:cs="Times New Roman"/>
          <w:iCs/>
          <w:color w:val="auto"/>
        </w:rPr>
        <w:t xml:space="preserve">las retenciones y pagos a cuenta, así como las pérdidas fiscales compensables de ejercicios anteriores y aplicadas efectivamente en éste, dan lugar a un menor importe del impuesto corriente. </w:t>
      </w:r>
    </w:p>
    <w:p w14:paraId="52606435" w14:textId="77777777" w:rsidR="001D5262" w:rsidRDefault="001D5262" w:rsidP="00965BC1">
      <w:pPr>
        <w:autoSpaceDE w:val="0"/>
        <w:autoSpaceDN w:val="0"/>
        <w:adjustRightInd w:val="0"/>
        <w:rPr>
          <w:iCs/>
          <w:szCs w:val="24"/>
        </w:rPr>
      </w:pPr>
    </w:p>
    <w:p w14:paraId="56F12BC1" w14:textId="77777777" w:rsidR="00965BC1" w:rsidRPr="00133CAA" w:rsidRDefault="00E238A6" w:rsidP="00965BC1">
      <w:pPr>
        <w:autoSpaceDE w:val="0"/>
        <w:autoSpaceDN w:val="0"/>
        <w:adjustRightInd w:val="0"/>
        <w:rPr>
          <w:szCs w:val="24"/>
          <w:lang w:eastAsia="es-ES"/>
        </w:rPr>
      </w:pPr>
      <w:r w:rsidRPr="00BF6212">
        <w:rPr>
          <w:iCs/>
          <w:szCs w:val="24"/>
        </w:rPr>
        <w:t xml:space="preserve">Por su parte, el gasto o el ingreso por impuesto diferido se corresponde con el reconocimiento y la cancelación de los activos y pasivos por impuesto diferido. Estos incluyen las diferencias temporarias que se identifican como aquellos importes que se prevén pagaderos o recuperables derivados de las diferencias entre los importes en libros de los activos y pasivos y su valor fiscal, así como las bases imponibles negativas pendientes de compensación y los créditos por deducciones fiscales no aplicadas fiscalmente. Dichos importes se registran aplicando a la diferencia temporaria o crédito que corresponda el tipo de gravamen al que se </w:t>
      </w:r>
      <w:r w:rsidR="00965BC1" w:rsidRPr="00133CAA">
        <w:rPr>
          <w:iCs/>
          <w:szCs w:val="24"/>
          <w:lang w:eastAsia="es-ES"/>
        </w:rPr>
        <w:t xml:space="preserve">espera recuperarlos o liquidarlos. </w:t>
      </w:r>
    </w:p>
    <w:p w14:paraId="7D287788" w14:textId="77777777" w:rsidR="00133CAA" w:rsidRPr="00965BC1" w:rsidRDefault="00133CAA" w:rsidP="00E238A6">
      <w:pPr>
        <w:jc w:val="both"/>
        <w:rPr>
          <w:color w:val="C00000"/>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42"/>
      </w:tblGrid>
      <w:tr w:rsidR="00133CAA" w:rsidRPr="00133CAA" w14:paraId="4FCA5D31" w14:textId="77777777">
        <w:trPr>
          <w:trHeight w:val="1833"/>
        </w:trPr>
        <w:tc>
          <w:tcPr>
            <w:tcW w:w="8442" w:type="dxa"/>
          </w:tcPr>
          <w:p w14:paraId="147E963E" w14:textId="77777777" w:rsidR="00133CAA" w:rsidRPr="00133CAA" w:rsidRDefault="00133CAA" w:rsidP="00133CAA">
            <w:pPr>
              <w:autoSpaceDE w:val="0"/>
              <w:autoSpaceDN w:val="0"/>
              <w:adjustRightInd w:val="0"/>
              <w:rPr>
                <w:color w:val="000000"/>
                <w:szCs w:val="24"/>
                <w:lang w:eastAsia="es-ES"/>
              </w:rPr>
            </w:pPr>
            <w:r w:rsidRPr="00133CAA">
              <w:rPr>
                <w:iCs/>
                <w:color w:val="000000"/>
                <w:szCs w:val="24"/>
                <w:lang w:eastAsia="es-ES"/>
              </w:rPr>
              <w:t xml:space="preserve">Se reconocen pasivos por impuestos diferidos para todas las diferencias temporarias imponibles, excepto aquellas derivadas del reconocimiento inicial de fondos de comercio o de otros activos y pasivos en una operación que no afecta ni al resultado fiscal ni al resultado contable y no es una combinación de negocios, así como las asociadas a inversiones en empresas dependientes, asociadas y negocios conjuntos en las que la Sociedad puede controlar el momento de la reversión y es probable que no reviertan en un futuro previsible. </w:t>
            </w:r>
          </w:p>
          <w:p w14:paraId="5756897C" w14:textId="77777777" w:rsidR="00133CAA" w:rsidRPr="00133CAA" w:rsidRDefault="00133CAA" w:rsidP="00133CAA">
            <w:pPr>
              <w:autoSpaceDE w:val="0"/>
              <w:autoSpaceDN w:val="0"/>
              <w:adjustRightInd w:val="0"/>
              <w:rPr>
                <w:color w:val="000000"/>
                <w:szCs w:val="24"/>
                <w:lang w:eastAsia="es-ES"/>
              </w:rPr>
            </w:pPr>
            <w:r w:rsidRPr="00133CAA">
              <w:rPr>
                <w:iCs/>
                <w:color w:val="000000"/>
                <w:szCs w:val="24"/>
                <w:lang w:eastAsia="es-ES"/>
              </w:rPr>
              <w:t xml:space="preserve">Por su parte, los activos por impuestos diferidos sólo se reconocen en la medida en que se considere probable que la Sociedad vaya a poder hacerlos efectivos en el futuro. </w:t>
            </w:r>
          </w:p>
          <w:p w14:paraId="2DE54665" w14:textId="77777777" w:rsidR="00133CAA" w:rsidRPr="00133CAA" w:rsidRDefault="00133CAA" w:rsidP="00133CAA">
            <w:pPr>
              <w:autoSpaceDE w:val="0"/>
              <w:autoSpaceDN w:val="0"/>
              <w:adjustRightInd w:val="0"/>
              <w:rPr>
                <w:color w:val="000000"/>
                <w:szCs w:val="24"/>
                <w:lang w:eastAsia="es-ES"/>
              </w:rPr>
            </w:pPr>
            <w:r w:rsidRPr="00133CAA">
              <w:rPr>
                <w:iCs/>
                <w:color w:val="000000"/>
                <w:szCs w:val="24"/>
                <w:lang w:eastAsia="es-ES"/>
              </w:rPr>
              <w:t xml:space="preserve">Los activos y pasivos por impuestos diferidos, originados por operaciones con cargos o abonos directos en cuentas de patrimonio, se contabilizan también con contrapartida en patrimonio neto.” </w:t>
            </w:r>
          </w:p>
        </w:tc>
      </w:tr>
    </w:tbl>
    <w:p w14:paraId="21660C1A" w14:textId="77777777" w:rsidR="00E238A6" w:rsidRPr="00E238A6" w:rsidRDefault="00E238A6" w:rsidP="00E238A6">
      <w:pPr>
        <w:jc w:val="both"/>
        <w:rPr>
          <w:color w:val="C00000"/>
          <w:szCs w:val="24"/>
        </w:rPr>
      </w:pPr>
    </w:p>
    <w:p w14:paraId="1B00E160" w14:textId="77777777" w:rsidR="003E1860" w:rsidRPr="008C50F0" w:rsidRDefault="003E1860" w:rsidP="004B01CD">
      <w:pPr>
        <w:pStyle w:val="Textoindependiente"/>
      </w:pPr>
    </w:p>
    <w:p w14:paraId="6B63CC29" w14:textId="77777777" w:rsidR="004B01CD" w:rsidRPr="00A640EC" w:rsidRDefault="004B01CD" w:rsidP="004B01CD">
      <w:pPr>
        <w:pStyle w:val="Prrafodelista"/>
        <w:numPr>
          <w:ilvl w:val="2"/>
          <w:numId w:val="41"/>
        </w:numPr>
        <w:tabs>
          <w:tab w:val="left" w:pos="426"/>
        </w:tabs>
        <w:jc w:val="both"/>
        <w:rPr>
          <w:b/>
          <w:bCs/>
          <w:i/>
          <w:lang w:val="es-ES"/>
        </w:rPr>
      </w:pPr>
      <w:r w:rsidRPr="00A640EC">
        <w:rPr>
          <w:b/>
          <w:i/>
          <w:lang w:val="es-ES"/>
        </w:rPr>
        <w:t xml:space="preserve">Conciliación entre Resultado contable y gasto por impuesto sobre sociedades </w:t>
      </w:r>
    </w:p>
    <w:p w14:paraId="6E9C400C" w14:textId="77777777" w:rsidR="004B01CD" w:rsidRPr="00A640EC" w:rsidRDefault="004B01CD" w:rsidP="004B01CD">
      <w:pPr>
        <w:jc w:val="both"/>
        <w:rPr>
          <w:szCs w:val="24"/>
        </w:rPr>
      </w:pPr>
    </w:p>
    <w:p w14:paraId="03E658AD" w14:textId="55C9FFA6" w:rsidR="00806456" w:rsidRPr="001E31E3" w:rsidRDefault="004B01CD" w:rsidP="004B01CD">
      <w:pPr>
        <w:jc w:val="both"/>
        <w:rPr>
          <w:szCs w:val="24"/>
        </w:rPr>
      </w:pPr>
      <w:r w:rsidRPr="00A640EC">
        <w:rPr>
          <w:szCs w:val="24"/>
        </w:rPr>
        <w:t>La conciliación entre el resultado contable y el gasto por Impuesto sobre Sociedades es la siguiente</w:t>
      </w:r>
      <w:r w:rsidR="001E31E3">
        <w:rPr>
          <w:szCs w:val="24"/>
        </w:rPr>
        <w:t>:</w:t>
      </w:r>
    </w:p>
    <w:p w14:paraId="7BFC2B14" w14:textId="140D9495" w:rsidR="00806456" w:rsidRDefault="00806456" w:rsidP="004B01CD">
      <w:pPr>
        <w:jc w:val="both"/>
        <w:rPr>
          <w:color w:val="FF0000"/>
          <w:szCs w:val="24"/>
        </w:rPr>
      </w:pPr>
    </w:p>
    <w:p w14:paraId="59E43EBD" w14:textId="2447AC48" w:rsidR="004A5AA8" w:rsidRDefault="004A5AA8" w:rsidP="004B01CD">
      <w:pPr>
        <w:jc w:val="both"/>
        <w:rPr>
          <w:color w:val="FF0000"/>
          <w:szCs w:val="24"/>
        </w:rPr>
      </w:pPr>
    </w:p>
    <w:p w14:paraId="6CA914E7" w14:textId="2D93DE73" w:rsidR="004A5AA8" w:rsidRDefault="004A5AA8" w:rsidP="004B01CD">
      <w:pPr>
        <w:jc w:val="both"/>
        <w:rPr>
          <w:color w:val="FF0000"/>
          <w:szCs w:val="24"/>
        </w:rPr>
      </w:pPr>
    </w:p>
    <w:tbl>
      <w:tblPr>
        <w:tblW w:w="0" w:type="auto"/>
        <w:jc w:val="center"/>
        <w:tblLayout w:type="fixed"/>
        <w:tblCellMar>
          <w:left w:w="42" w:type="dxa"/>
          <w:right w:w="42" w:type="dxa"/>
        </w:tblCellMar>
        <w:tblLook w:val="0000" w:firstRow="0" w:lastRow="0" w:firstColumn="0" w:lastColumn="0" w:noHBand="0" w:noVBand="0"/>
      </w:tblPr>
      <w:tblGrid>
        <w:gridCol w:w="4484"/>
        <w:gridCol w:w="1203"/>
      </w:tblGrid>
      <w:tr w:rsidR="004A5AA8" w:rsidRPr="00513FA4" w14:paraId="78A3D7BA" w14:textId="77777777" w:rsidTr="00AC1879">
        <w:trPr>
          <w:cantSplit/>
          <w:trHeight w:val="170"/>
          <w:jc w:val="center"/>
        </w:trPr>
        <w:tc>
          <w:tcPr>
            <w:tcW w:w="4484" w:type="dxa"/>
            <w:tcBorders>
              <w:bottom w:val="single" w:sz="4" w:space="0" w:color="auto"/>
              <w:right w:val="single" w:sz="4" w:space="0" w:color="auto"/>
            </w:tcBorders>
          </w:tcPr>
          <w:p w14:paraId="5339CA55" w14:textId="77777777" w:rsidR="004A5AA8" w:rsidRPr="00513FA4" w:rsidRDefault="004A5AA8" w:rsidP="00AC1879"/>
        </w:tc>
        <w:tc>
          <w:tcPr>
            <w:tcW w:w="1203" w:type="dxa"/>
            <w:tcBorders>
              <w:top w:val="single" w:sz="4" w:space="0" w:color="auto"/>
              <w:left w:val="single" w:sz="4" w:space="0" w:color="auto"/>
              <w:bottom w:val="single" w:sz="4" w:space="0" w:color="auto"/>
              <w:right w:val="single" w:sz="4" w:space="0" w:color="auto"/>
            </w:tcBorders>
          </w:tcPr>
          <w:p w14:paraId="6B13FB7D" w14:textId="4EE67C31" w:rsidR="004A5AA8" w:rsidRPr="00513FA4" w:rsidRDefault="004A5AA8" w:rsidP="00AC1879">
            <w:pPr>
              <w:pStyle w:val="Tabladeilustraciones"/>
              <w:keepNext/>
              <w:jc w:val="center"/>
              <w:rPr>
                <w:b/>
              </w:rPr>
            </w:pPr>
            <w:r w:rsidRPr="00513FA4">
              <w:rPr>
                <w:b/>
              </w:rPr>
              <w:t>201</w:t>
            </w:r>
            <w:r>
              <w:rPr>
                <w:b/>
              </w:rPr>
              <w:t>9</w:t>
            </w:r>
          </w:p>
        </w:tc>
      </w:tr>
      <w:tr w:rsidR="004A5AA8" w:rsidRPr="00513FA4" w14:paraId="2B3CCF55" w14:textId="77777777" w:rsidTr="00AC187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4097FB5F" w14:textId="77777777" w:rsidR="004A5AA8" w:rsidRPr="00513FA4" w:rsidRDefault="004A5AA8" w:rsidP="00AC1879">
            <w:pPr>
              <w:rPr>
                <w:i/>
                <w:sz w:val="20"/>
                <w:szCs w:val="20"/>
              </w:rPr>
            </w:pPr>
            <w:r w:rsidRPr="00513FA4">
              <w:rPr>
                <w:sz w:val="20"/>
                <w:szCs w:val="20"/>
              </w:rPr>
              <w:t xml:space="preserve">Resultado contable antes de impuestos  </w:t>
            </w:r>
          </w:p>
        </w:tc>
        <w:tc>
          <w:tcPr>
            <w:tcW w:w="1203" w:type="dxa"/>
            <w:tcBorders>
              <w:top w:val="single" w:sz="4" w:space="0" w:color="auto"/>
              <w:left w:val="single" w:sz="4" w:space="0" w:color="auto"/>
              <w:bottom w:val="single" w:sz="4" w:space="0" w:color="auto"/>
              <w:right w:val="single" w:sz="4" w:space="0" w:color="auto"/>
            </w:tcBorders>
          </w:tcPr>
          <w:p w14:paraId="21934EA5" w14:textId="392859A7" w:rsidR="004A5AA8" w:rsidRPr="00513FA4" w:rsidRDefault="00E53F3F" w:rsidP="00AC1879">
            <w:pPr>
              <w:pStyle w:val="Tabladeilustraciones"/>
              <w:keepNext/>
              <w:jc w:val="center"/>
            </w:pPr>
            <w:r>
              <w:t>336.792,59</w:t>
            </w:r>
          </w:p>
        </w:tc>
      </w:tr>
      <w:tr w:rsidR="004A5AA8" w:rsidRPr="00513FA4" w14:paraId="489F74EE" w14:textId="77777777" w:rsidTr="00AC187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56EABCFB" w14:textId="77777777" w:rsidR="004A5AA8" w:rsidRPr="00513FA4" w:rsidRDefault="004A5AA8" w:rsidP="00AC1879">
            <w:pPr>
              <w:pStyle w:val="Tabladeilustraciones"/>
              <w:keepNext/>
            </w:pPr>
            <w:r w:rsidRPr="00513FA4">
              <w:t>Base imponible fiscal</w:t>
            </w:r>
          </w:p>
        </w:tc>
        <w:tc>
          <w:tcPr>
            <w:tcW w:w="1203" w:type="dxa"/>
            <w:tcBorders>
              <w:top w:val="single" w:sz="4" w:space="0" w:color="auto"/>
              <w:left w:val="single" w:sz="4" w:space="0" w:color="auto"/>
              <w:bottom w:val="single" w:sz="4" w:space="0" w:color="auto"/>
              <w:right w:val="single" w:sz="4" w:space="0" w:color="auto"/>
            </w:tcBorders>
          </w:tcPr>
          <w:p w14:paraId="0660BF81" w14:textId="05586FAC" w:rsidR="004A5AA8" w:rsidRPr="00513FA4" w:rsidRDefault="00E53F3F" w:rsidP="00AC1879">
            <w:pPr>
              <w:pStyle w:val="Tabladeilustraciones"/>
              <w:keepNext/>
              <w:jc w:val="center"/>
            </w:pPr>
            <w:r>
              <w:t>297.370,25</w:t>
            </w:r>
          </w:p>
        </w:tc>
      </w:tr>
      <w:tr w:rsidR="004A5AA8" w:rsidRPr="00513FA4" w14:paraId="00036642" w14:textId="77777777" w:rsidTr="00AC187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2855A9BA" w14:textId="77777777" w:rsidR="004A5AA8" w:rsidRPr="00513FA4" w:rsidRDefault="004A5AA8" w:rsidP="00AC1879">
            <w:pPr>
              <w:pStyle w:val="Tabladeilustraciones"/>
              <w:keepNext/>
              <w:rPr>
                <w:b/>
              </w:rPr>
            </w:pPr>
            <w:r w:rsidRPr="00513FA4">
              <w:rPr>
                <w:b/>
              </w:rPr>
              <w:t>Cuota al 25%</w:t>
            </w:r>
          </w:p>
        </w:tc>
        <w:tc>
          <w:tcPr>
            <w:tcW w:w="1203" w:type="dxa"/>
            <w:tcBorders>
              <w:top w:val="single" w:sz="4" w:space="0" w:color="auto"/>
              <w:left w:val="single" w:sz="4" w:space="0" w:color="auto"/>
              <w:bottom w:val="single" w:sz="4" w:space="0" w:color="auto"/>
              <w:right w:val="single" w:sz="4" w:space="0" w:color="auto"/>
            </w:tcBorders>
          </w:tcPr>
          <w:p w14:paraId="795D012F" w14:textId="34387FD5" w:rsidR="004A5AA8" w:rsidRPr="00513FA4" w:rsidRDefault="00E53F3F" w:rsidP="00AC1879">
            <w:pPr>
              <w:pStyle w:val="Tabladeilustraciones"/>
              <w:keepNext/>
              <w:jc w:val="center"/>
            </w:pPr>
            <w:r>
              <w:t>74.342,56</w:t>
            </w:r>
          </w:p>
        </w:tc>
      </w:tr>
      <w:tr w:rsidR="004A5AA8" w:rsidRPr="00513FA4" w14:paraId="6D2E5556" w14:textId="77777777" w:rsidTr="00AC187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1D76A0F6" w14:textId="77777777" w:rsidR="004A5AA8" w:rsidRPr="00513FA4" w:rsidRDefault="004A5AA8" w:rsidP="00AC1879">
            <w:pPr>
              <w:pStyle w:val="Tabladeilustraciones"/>
              <w:keepNext/>
            </w:pPr>
            <w:r w:rsidRPr="00513FA4">
              <w:t>Impacto ajustes permanentes</w:t>
            </w:r>
          </w:p>
        </w:tc>
        <w:tc>
          <w:tcPr>
            <w:tcW w:w="1203" w:type="dxa"/>
            <w:tcBorders>
              <w:top w:val="single" w:sz="4" w:space="0" w:color="auto"/>
              <w:left w:val="single" w:sz="4" w:space="0" w:color="auto"/>
              <w:bottom w:val="single" w:sz="4" w:space="0" w:color="auto"/>
              <w:right w:val="single" w:sz="4" w:space="0" w:color="auto"/>
            </w:tcBorders>
          </w:tcPr>
          <w:p w14:paraId="6B09AC92" w14:textId="77777777" w:rsidR="004A5AA8" w:rsidRPr="00513FA4" w:rsidRDefault="004A5AA8" w:rsidP="00AC1879">
            <w:pPr>
              <w:pStyle w:val="Tabladeilustraciones"/>
              <w:keepNext/>
              <w:jc w:val="center"/>
            </w:pPr>
          </w:p>
        </w:tc>
      </w:tr>
      <w:tr w:rsidR="004A5AA8" w:rsidRPr="00513FA4" w14:paraId="0E3A853D" w14:textId="77777777" w:rsidTr="00AC1879">
        <w:trPr>
          <w:cantSplit/>
          <w:trHeight w:val="170"/>
          <w:jc w:val="center"/>
        </w:trPr>
        <w:tc>
          <w:tcPr>
            <w:tcW w:w="4484" w:type="dxa"/>
            <w:tcBorders>
              <w:left w:val="single" w:sz="4" w:space="0" w:color="auto"/>
              <w:bottom w:val="single" w:sz="4" w:space="0" w:color="auto"/>
              <w:right w:val="single" w:sz="4" w:space="0" w:color="auto"/>
            </w:tcBorders>
          </w:tcPr>
          <w:p w14:paraId="258CA2E1" w14:textId="77777777" w:rsidR="004A5AA8" w:rsidRPr="00513FA4" w:rsidRDefault="004A5AA8" w:rsidP="00AC1879">
            <w:pPr>
              <w:pStyle w:val="Tabladeilustraciones"/>
              <w:keepNext/>
            </w:pPr>
            <w:r w:rsidRPr="00513FA4">
              <w:t>Compensación bases imponibles negativas</w:t>
            </w:r>
          </w:p>
        </w:tc>
        <w:tc>
          <w:tcPr>
            <w:tcW w:w="1203" w:type="dxa"/>
            <w:tcBorders>
              <w:left w:val="single" w:sz="4" w:space="0" w:color="auto"/>
              <w:bottom w:val="single" w:sz="4" w:space="0" w:color="auto"/>
              <w:right w:val="single" w:sz="4" w:space="0" w:color="auto"/>
            </w:tcBorders>
          </w:tcPr>
          <w:p w14:paraId="1F51551A" w14:textId="77777777" w:rsidR="004A5AA8" w:rsidRPr="00513FA4" w:rsidRDefault="004A5AA8" w:rsidP="00AC1879">
            <w:pPr>
              <w:pStyle w:val="Tabladeilustraciones"/>
              <w:keepNext/>
              <w:jc w:val="center"/>
            </w:pPr>
          </w:p>
        </w:tc>
      </w:tr>
      <w:tr w:rsidR="004A5AA8" w:rsidRPr="00513FA4" w14:paraId="4C194BD4" w14:textId="77777777" w:rsidTr="00AC1879">
        <w:trPr>
          <w:cantSplit/>
          <w:trHeight w:val="170"/>
          <w:jc w:val="center"/>
        </w:trPr>
        <w:tc>
          <w:tcPr>
            <w:tcW w:w="4484" w:type="dxa"/>
            <w:tcBorders>
              <w:left w:val="single" w:sz="4" w:space="0" w:color="auto"/>
              <w:bottom w:val="single" w:sz="4" w:space="0" w:color="auto"/>
              <w:right w:val="single" w:sz="4" w:space="0" w:color="auto"/>
            </w:tcBorders>
          </w:tcPr>
          <w:p w14:paraId="761630E0" w14:textId="77777777" w:rsidR="004A5AA8" w:rsidRPr="00513FA4" w:rsidRDefault="004A5AA8" w:rsidP="00AC1879">
            <w:pPr>
              <w:pStyle w:val="Tabladeilustraciones"/>
              <w:keepNext/>
            </w:pPr>
            <w:r w:rsidRPr="00513FA4">
              <w:t>Deducción por inversiones en canarias</w:t>
            </w:r>
          </w:p>
        </w:tc>
        <w:tc>
          <w:tcPr>
            <w:tcW w:w="1203" w:type="dxa"/>
            <w:tcBorders>
              <w:left w:val="single" w:sz="4" w:space="0" w:color="auto"/>
              <w:bottom w:val="single" w:sz="4" w:space="0" w:color="auto"/>
              <w:right w:val="single" w:sz="4" w:space="0" w:color="auto"/>
            </w:tcBorders>
          </w:tcPr>
          <w:p w14:paraId="4C5DF8A9" w14:textId="22763709" w:rsidR="004A5AA8" w:rsidRPr="00513FA4" w:rsidRDefault="00E53F3F" w:rsidP="00AC1879">
            <w:pPr>
              <w:pStyle w:val="Tabladeilustraciones"/>
              <w:keepNext/>
              <w:jc w:val="center"/>
            </w:pPr>
            <w:r>
              <w:t>4.352,85</w:t>
            </w:r>
          </w:p>
        </w:tc>
      </w:tr>
      <w:tr w:rsidR="004A5AA8" w:rsidRPr="00513FA4" w14:paraId="1372079F" w14:textId="77777777" w:rsidTr="00AC187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017ED518" w14:textId="77777777" w:rsidR="004A5AA8" w:rsidRPr="00513FA4" w:rsidRDefault="004A5AA8" w:rsidP="00AC1879">
            <w:pPr>
              <w:pStyle w:val="Tabladeilustraciones"/>
              <w:keepNext/>
              <w:rPr>
                <w:i/>
              </w:rPr>
            </w:pPr>
            <w:r w:rsidRPr="00513FA4">
              <w:t>Créditos por perdidas a compensar</w:t>
            </w:r>
          </w:p>
        </w:tc>
        <w:tc>
          <w:tcPr>
            <w:tcW w:w="1203" w:type="dxa"/>
            <w:tcBorders>
              <w:top w:val="single" w:sz="4" w:space="0" w:color="auto"/>
              <w:left w:val="single" w:sz="4" w:space="0" w:color="auto"/>
              <w:bottom w:val="single" w:sz="4" w:space="0" w:color="auto"/>
              <w:right w:val="single" w:sz="4" w:space="0" w:color="auto"/>
            </w:tcBorders>
          </w:tcPr>
          <w:p w14:paraId="79C19B5C" w14:textId="77777777" w:rsidR="004A5AA8" w:rsidRPr="00513FA4" w:rsidRDefault="004A5AA8" w:rsidP="00AC1879">
            <w:pPr>
              <w:pStyle w:val="Tabladeilustraciones"/>
              <w:keepNext/>
              <w:jc w:val="center"/>
            </w:pPr>
          </w:p>
        </w:tc>
      </w:tr>
      <w:tr w:rsidR="004A5AA8" w:rsidRPr="00513FA4" w14:paraId="10354BDD" w14:textId="77777777" w:rsidTr="00AC1879">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189B0CB2" w14:textId="77777777" w:rsidR="004A5AA8" w:rsidRPr="00513FA4" w:rsidRDefault="004A5AA8" w:rsidP="00AC1879">
            <w:pPr>
              <w:pStyle w:val="Tabladeilustraciones"/>
              <w:keepNext/>
              <w:rPr>
                <w:b/>
              </w:rPr>
            </w:pPr>
            <w:r w:rsidRPr="00513FA4">
              <w:rPr>
                <w:b/>
              </w:rPr>
              <w:t>Total gasto por impuesto reconocido en la cuenta de pérdidas y ganancias</w:t>
            </w:r>
          </w:p>
        </w:tc>
        <w:tc>
          <w:tcPr>
            <w:tcW w:w="1203" w:type="dxa"/>
            <w:tcBorders>
              <w:top w:val="single" w:sz="4" w:space="0" w:color="auto"/>
              <w:left w:val="single" w:sz="8" w:space="0" w:color="auto"/>
              <w:bottom w:val="single" w:sz="4" w:space="0" w:color="auto"/>
              <w:right w:val="single" w:sz="4" w:space="0" w:color="auto"/>
            </w:tcBorders>
            <w:vAlign w:val="center"/>
          </w:tcPr>
          <w:p w14:paraId="0F42C968" w14:textId="3FABCC85" w:rsidR="004A5AA8" w:rsidRPr="00513FA4" w:rsidRDefault="00E53F3F" w:rsidP="00AC1879">
            <w:pPr>
              <w:pStyle w:val="Tabladeilustraciones"/>
              <w:keepNext/>
              <w:jc w:val="center"/>
            </w:pPr>
            <w:r>
              <w:t>69.989,71</w:t>
            </w:r>
          </w:p>
        </w:tc>
      </w:tr>
    </w:tbl>
    <w:p w14:paraId="1CC9B76C" w14:textId="41615953" w:rsidR="004A5AA8" w:rsidRDefault="004A5AA8" w:rsidP="004B01CD">
      <w:pPr>
        <w:jc w:val="both"/>
        <w:rPr>
          <w:color w:val="FF0000"/>
          <w:szCs w:val="24"/>
        </w:rPr>
      </w:pPr>
    </w:p>
    <w:p w14:paraId="4EAC8CB5" w14:textId="77777777" w:rsidR="001E31E3" w:rsidRDefault="001E31E3" w:rsidP="004B01CD">
      <w:pPr>
        <w:jc w:val="both"/>
        <w:rPr>
          <w:color w:val="FF0000"/>
          <w:szCs w:val="24"/>
        </w:rPr>
      </w:pPr>
    </w:p>
    <w:p w14:paraId="5AF80C11" w14:textId="090CA3B2" w:rsidR="00513FA4" w:rsidRDefault="00513FA4" w:rsidP="004B01CD">
      <w:pPr>
        <w:jc w:val="both"/>
        <w:rPr>
          <w:color w:val="FF0000"/>
          <w:szCs w:val="24"/>
        </w:rPr>
      </w:pPr>
    </w:p>
    <w:tbl>
      <w:tblPr>
        <w:tblW w:w="0" w:type="auto"/>
        <w:jc w:val="center"/>
        <w:tblLayout w:type="fixed"/>
        <w:tblCellMar>
          <w:left w:w="42" w:type="dxa"/>
          <w:right w:w="42" w:type="dxa"/>
        </w:tblCellMar>
        <w:tblLook w:val="0000" w:firstRow="0" w:lastRow="0" w:firstColumn="0" w:lastColumn="0" w:noHBand="0" w:noVBand="0"/>
      </w:tblPr>
      <w:tblGrid>
        <w:gridCol w:w="4484"/>
        <w:gridCol w:w="1203"/>
      </w:tblGrid>
      <w:tr w:rsidR="00297869" w:rsidRPr="00513FA4" w14:paraId="1D96C987" w14:textId="77777777" w:rsidTr="00110F5C">
        <w:trPr>
          <w:cantSplit/>
          <w:trHeight w:val="140"/>
          <w:jc w:val="center"/>
        </w:trPr>
        <w:tc>
          <w:tcPr>
            <w:tcW w:w="4484" w:type="dxa"/>
            <w:tcBorders>
              <w:bottom w:val="single" w:sz="4" w:space="0" w:color="auto"/>
              <w:right w:val="single" w:sz="4" w:space="0" w:color="auto"/>
            </w:tcBorders>
          </w:tcPr>
          <w:p w14:paraId="77E895BC" w14:textId="77777777" w:rsidR="00297869" w:rsidRPr="00513FA4" w:rsidRDefault="00297869" w:rsidP="00110F5C">
            <w:bookmarkStart w:id="4" w:name="_Hlk508613233"/>
          </w:p>
        </w:tc>
        <w:tc>
          <w:tcPr>
            <w:tcW w:w="1203" w:type="dxa"/>
            <w:tcBorders>
              <w:top w:val="single" w:sz="4" w:space="0" w:color="auto"/>
              <w:left w:val="single" w:sz="4" w:space="0" w:color="auto"/>
              <w:bottom w:val="single" w:sz="4" w:space="0" w:color="auto"/>
              <w:right w:val="single" w:sz="4" w:space="0" w:color="auto"/>
            </w:tcBorders>
          </w:tcPr>
          <w:p w14:paraId="30C55691" w14:textId="1613D900" w:rsidR="00297869" w:rsidRPr="00513FA4" w:rsidRDefault="00297869" w:rsidP="00110F5C">
            <w:pPr>
              <w:pStyle w:val="Tabladeilustraciones"/>
              <w:keepNext/>
              <w:jc w:val="center"/>
              <w:rPr>
                <w:b/>
              </w:rPr>
            </w:pPr>
            <w:r w:rsidRPr="00513FA4">
              <w:rPr>
                <w:b/>
              </w:rPr>
              <w:t>20</w:t>
            </w:r>
            <w:r>
              <w:rPr>
                <w:b/>
              </w:rPr>
              <w:t>20</w:t>
            </w:r>
          </w:p>
        </w:tc>
      </w:tr>
      <w:tr w:rsidR="00297869" w:rsidRPr="00513FA4" w14:paraId="659CDFD8" w14:textId="77777777" w:rsidTr="00110F5C">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3CBDF325" w14:textId="77777777" w:rsidR="00297869" w:rsidRPr="00513FA4" w:rsidRDefault="00297869" w:rsidP="00110F5C">
            <w:pPr>
              <w:rPr>
                <w:i/>
                <w:sz w:val="20"/>
                <w:szCs w:val="20"/>
              </w:rPr>
            </w:pPr>
            <w:r w:rsidRPr="00513FA4">
              <w:rPr>
                <w:sz w:val="20"/>
                <w:szCs w:val="20"/>
              </w:rPr>
              <w:t xml:space="preserve">Resultado contable antes de impuestos  </w:t>
            </w:r>
          </w:p>
        </w:tc>
        <w:tc>
          <w:tcPr>
            <w:tcW w:w="1203" w:type="dxa"/>
            <w:tcBorders>
              <w:top w:val="single" w:sz="4" w:space="0" w:color="auto"/>
              <w:left w:val="single" w:sz="4" w:space="0" w:color="auto"/>
              <w:bottom w:val="single" w:sz="4" w:space="0" w:color="auto"/>
              <w:right w:val="single" w:sz="4" w:space="0" w:color="auto"/>
            </w:tcBorders>
          </w:tcPr>
          <w:p w14:paraId="5E25A7A2" w14:textId="4F57E33D" w:rsidR="00297869" w:rsidRPr="00513FA4" w:rsidRDefault="002E1E47" w:rsidP="00110F5C">
            <w:pPr>
              <w:pStyle w:val="Tabladeilustraciones"/>
              <w:keepNext/>
              <w:jc w:val="center"/>
            </w:pPr>
            <w:r>
              <w:t>-</w:t>
            </w:r>
            <w:r w:rsidR="00293294">
              <w:t>181.2</w:t>
            </w:r>
            <w:r w:rsidR="00E554D9">
              <w:t>31,13</w:t>
            </w:r>
          </w:p>
        </w:tc>
      </w:tr>
      <w:tr w:rsidR="00297869" w:rsidRPr="00513FA4" w14:paraId="7772C499" w14:textId="77777777" w:rsidTr="00110F5C">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4E44542F" w14:textId="77777777" w:rsidR="00297869" w:rsidRPr="00513FA4" w:rsidRDefault="00297869" w:rsidP="00110F5C">
            <w:pPr>
              <w:pStyle w:val="Tabladeilustraciones"/>
              <w:keepNext/>
            </w:pPr>
            <w:r w:rsidRPr="00513FA4">
              <w:t>Base imponible fiscal</w:t>
            </w:r>
          </w:p>
        </w:tc>
        <w:tc>
          <w:tcPr>
            <w:tcW w:w="1203" w:type="dxa"/>
            <w:tcBorders>
              <w:top w:val="single" w:sz="4" w:space="0" w:color="auto"/>
              <w:left w:val="single" w:sz="4" w:space="0" w:color="auto"/>
              <w:bottom w:val="single" w:sz="4" w:space="0" w:color="auto"/>
              <w:right w:val="single" w:sz="4" w:space="0" w:color="auto"/>
            </w:tcBorders>
          </w:tcPr>
          <w:p w14:paraId="2E5E6C70" w14:textId="292097E4" w:rsidR="00297869" w:rsidRPr="00513FA4" w:rsidRDefault="002E1E47" w:rsidP="00110F5C">
            <w:pPr>
              <w:pStyle w:val="Tabladeilustraciones"/>
              <w:keepNext/>
              <w:jc w:val="center"/>
            </w:pPr>
            <w:r>
              <w:t>-</w:t>
            </w:r>
            <w:r w:rsidR="00293294">
              <w:t>148</w:t>
            </w:r>
            <w:r>
              <w:t>.</w:t>
            </w:r>
            <w:r w:rsidR="00E554D9">
              <w:t>189,99</w:t>
            </w:r>
          </w:p>
        </w:tc>
      </w:tr>
      <w:tr w:rsidR="00297869" w:rsidRPr="00513FA4" w14:paraId="3165A615" w14:textId="77777777" w:rsidTr="00110F5C">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08ED1F77" w14:textId="77777777" w:rsidR="00297869" w:rsidRPr="00513FA4" w:rsidRDefault="00297869" w:rsidP="00110F5C">
            <w:pPr>
              <w:pStyle w:val="Tabladeilustraciones"/>
              <w:keepNext/>
              <w:rPr>
                <w:b/>
              </w:rPr>
            </w:pPr>
            <w:r w:rsidRPr="00513FA4">
              <w:rPr>
                <w:b/>
              </w:rPr>
              <w:t>Cuota al 25%</w:t>
            </w:r>
          </w:p>
        </w:tc>
        <w:tc>
          <w:tcPr>
            <w:tcW w:w="1203" w:type="dxa"/>
            <w:tcBorders>
              <w:top w:val="single" w:sz="4" w:space="0" w:color="auto"/>
              <w:left w:val="single" w:sz="4" w:space="0" w:color="auto"/>
              <w:bottom w:val="single" w:sz="4" w:space="0" w:color="auto"/>
              <w:right w:val="single" w:sz="4" w:space="0" w:color="auto"/>
            </w:tcBorders>
          </w:tcPr>
          <w:p w14:paraId="0BDCD1B4" w14:textId="767D5077" w:rsidR="00297869" w:rsidRPr="00513FA4" w:rsidRDefault="00E554D9" w:rsidP="00110F5C">
            <w:pPr>
              <w:pStyle w:val="Tabladeilustraciones"/>
              <w:keepNext/>
              <w:jc w:val="center"/>
            </w:pPr>
            <w:r>
              <w:t>0</w:t>
            </w:r>
          </w:p>
        </w:tc>
      </w:tr>
      <w:tr w:rsidR="00297869" w:rsidRPr="00513FA4" w14:paraId="00EFBDFE" w14:textId="77777777" w:rsidTr="00110F5C">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23A1363E" w14:textId="77777777" w:rsidR="00297869" w:rsidRPr="00513FA4" w:rsidRDefault="00297869" w:rsidP="00110F5C">
            <w:pPr>
              <w:pStyle w:val="Tabladeilustraciones"/>
              <w:keepNext/>
            </w:pPr>
            <w:r w:rsidRPr="00513FA4">
              <w:t>Impacto ajustes permanentes</w:t>
            </w:r>
          </w:p>
        </w:tc>
        <w:tc>
          <w:tcPr>
            <w:tcW w:w="1203" w:type="dxa"/>
            <w:tcBorders>
              <w:top w:val="single" w:sz="4" w:space="0" w:color="auto"/>
              <w:left w:val="single" w:sz="4" w:space="0" w:color="auto"/>
              <w:bottom w:val="single" w:sz="4" w:space="0" w:color="auto"/>
              <w:right w:val="single" w:sz="4" w:space="0" w:color="auto"/>
            </w:tcBorders>
          </w:tcPr>
          <w:p w14:paraId="7AAAAE5A" w14:textId="77777777" w:rsidR="00297869" w:rsidRPr="00513FA4" w:rsidRDefault="00297869" w:rsidP="00110F5C">
            <w:pPr>
              <w:pStyle w:val="Tabladeilustraciones"/>
              <w:keepNext/>
              <w:jc w:val="center"/>
            </w:pPr>
          </w:p>
        </w:tc>
      </w:tr>
      <w:tr w:rsidR="00297869" w:rsidRPr="00513FA4" w14:paraId="30963D7F" w14:textId="77777777" w:rsidTr="00110F5C">
        <w:trPr>
          <w:cantSplit/>
          <w:trHeight w:val="170"/>
          <w:jc w:val="center"/>
        </w:trPr>
        <w:tc>
          <w:tcPr>
            <w:tcW w:w="4484" w:type="dxa"/>
            <w:tcBorders>
              <w:left w:val="single" w:sz="4" w:space="0" w:color="auto"/>
              <w:bottom w:val="single" w:sz="4" w:space="0" w:color="auto"/>
              <w:right w:val="single" w:sz="4" w:space="0" w:color="auto"/>
            </w:tcBorders>
          </w:tcPr>
          <w:p w14:paraId="0858602A" w14:textId="77777777" w:rsidR="00297869" w:rsidRPr="00513FA4" w:rsidRDefault="00297869" w:rsidP="00110F5C">
            <w:pPr>
              <w:pStyle w:val="Tabladeilustraciones"/>
              <w:keepNext/>
            </w:pPr>
            <w:r w:rsidRPr="00513FA4">
              <w:t>Compensación bases imponibles negativas</w:t>
            </w:r>
          </w:p>
        </w:tc>
        <w:tc>
          <w:tcPr>
            <w:tcW w:w="1203" w:type="dxa"/>
            <w:tcBorders>
              <w:left w:val="single" w:sz="4" w:space="0" w:color="auto"/>
              <w:bottom w:val="single" w:sz="4" w:space="0" w:color="auto"/>
              <w:right w:val="single" w:sz="4" w:space="0" w:color="auto"/>
            </w:tcBorders>
          </w:tcPr>
          <w:p w14:paraId="416DE926" w14:textId="77777777" w:rsidR="00297869" w:rsidRPr="00513FA4" w:rsidRDefault="00297869" w:rsidP="00110F5C">
            <w:pPr>
              <w:pStyle w:val="Tabladeilustraciones"/>
              <w:keepNext/>
              <w:jc w:val="center"/>
            </w:pPr>
          </w:p>
        </w:tc>
      </w:tr>
      <w:tr w:rsidR="00297869" w:rsidRPr="00513FA4" w14:paraId="1FDF068B" w14:textId="77777777" w:rsidTr="00110F5C">
        <w:trPr>
          <w:cantSplit/>
          <w:trHeight w:val="170"/>
          <w:jc w:val="center"/>
        </w:trPr>
        <w:tc>
          <w:tcPr>
            <w:tcW w:w="4484" w:type="dxa"/>
            <w:tcBorders>
              <w:left w:val="single" w:sz="4" w:space="0" w:color="auto"/>
              <w:bottom w:val="single" w:sz="4" w:space="0" w:color="auto"/>
              <w:right w:val="single" w:sz="4" w:space="0" w:color="auto"/>
            </w:tcBorders>
          </w:tcPr>
          <w:p w14:paraId="0EC1F57A" w14:textId="77777777" w:rsidR="00297869" w:rsidRPr="00513FA4" w:rsidRDefault="00297869" w:rsidP="00110F5C">
            <w:pPr>
              <w:pStyle w:val="Tabladeilustraciones"/>
              <w:keepNext/>
            </w:pPr>
            <w:r w:rsidRPr="00513FA4">
              <w:t>Deducción por inversiones en canarias</w:t>
            </w:r>
          </w:p>
        </w:tc>
        <w:tc>
          <w:tcPr>
            <w:tcW w:w="1203" w:type="dxa"/>
            <w:tcBorders>
              <w:left w:val="single" w:sz="4" w:space="0" w:color="auto"/>
              <w:bottom w:val="single" w:sz="4" w:space="0" w:color="auto"/>
              <w:right w:val="single" w:sz="4" w:space="0" w:color="auto"/>
            </w:tcBorders>
          </w:tcPr>
          <w:p w14:paraId="41F2EF9C" w14:textId="1AF9EEB0" w:rsidR="00297869" w:rsidRPr="00513FA4" w:rsidRDefault="00297869" w:rsidP="00110F5C">
            <w:pPr>
              <w:pStyle w:val="Tabladeilustraciones"/>
              <w:keepNext/>
              <w:jc w:val="center"/>
            </w:pPr>
          </w:p>
        </w:tc>
      </w:tr>
      <w:tr w:rsidR="00297869" w:rsidRPr="00513FA4" w14:paraId="4C56B44D" w14:textId="77777777" w:rsidTr="00110F5C">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4A0AD84A" w14:textId="77777777" w:rsidR="00297869" w:rsidRPr="00513FA4" w:rsidRDefault="00297869" w:rsidP="00110F5C">
            <w:pPr>
              <w:pStyle w:val="Tabladeilustraciones"/>
              <w:keepNext/>
              <w:rPr>
                <w:i/>
              </w:rPr>
            </w:pPr>
            <w:r w:rsidRPr="00513FA4">
              <w:t>Créditos por perdidas a compensar</w:t>
            </w:r>
          </w:p>
        </w:tc>
        <w:tc>
          <w:tcPr>
            <w:tcW w:w="1203" w:type="dxa"/>
            <w:tcBorders>
              <w:top w:val="single" w:sz="4" w:space="0" w:color="auto"/>
              <w:left w:val="single" w:sz="4" w:space="0" w:color="auto"/>
              <w:bottom w:val="single" w:sz="4" w:space="0" w:color="auto"/>
              <w:right w:val="single" w:sz="4" w:space="0" w:color="auto"/>
            </w:tcBorders>
          </w:tcPr>
          <w:p w14:paraId="1D1867E6" w14:textId="77777777" w:rsidR="00297869" w:rsidRPr="00513FA4" w:rsidRDefault="00297869" w:rsidP="00110F5C">
            <w:pPr>
              <w:pStyle w:val="Tabladeilustraciones"/>
              <w:keepNext/>
              <w:jc w:val="center"/>
            </w:pPr>
          </w:p>
        </w:tc>
      </w:tr>
      <w:tr w:rsidR="00297869" w:rsidRPr="00513FA4" w14:paraId="361AFBAD" w14:textId="77777777" w:rsidTr="00110F5C">
        <w:trPr>
          <w:cantSplit/>
          <w:trHeight w:val="170"/>
          <w:jc w:val="center"/>
        </w:trPr>
        <w:tc>
          <w:tcPr>
            <w:tcW w:w="4484" w:type="dxa"/>
            <w:tcBorders>
              <w:top w:val="single" w:sz="4" w:space="0" w:color="auto"/>
              <w:left w:val="single" w:sz="4" w:space="0" w:color="auto"/>
              <w:bottom w:val="single" w:sz="4" w:space="0" w:color="auto"/>
              <w:right w:val="single" w:sz="4" w:space="0" w:color="auto"/>
            </w:tcBorders>
          </w:tcPr>
          <w:p w14:paraId="354FCE55" w14:textId="77777777" w:rsidR="00297869" w:rsidRPr="00513FA4" w:rsidRDefault="00297869" w:rsidP="00110F5C">
            <w:pPr>
              <w:pStyle w:val="Tabladeilustraciones"/>
              <w:keepNext/>
              <w:rPr>
                <w:b/>
              </w:rPr>
            </w:pPr>
            <w:r w:rsidRPr="00513FA4">
              <w:rPr>
                <w:b/>
              </w:rPr>
              <w:t>Total gasto por impuesto reconocido en la cuenta de pérdidas y ganancias</w:t>
            </w:r>
          </w:p>
        </w:tc>
        <w:tc>
          <w:tcPr>
            <w:tcW w:w="1203" w:type="dxa"/>
            <w:tcBorders>
              <w:top w:val="single" w:sz="4" w:space="0" w:color="auto"/>
              <w:left w:val="single" w:sz="8" w:space="0" w:color="auto"/>
              <w:bottom w:val="single" w:sz="4" w:space="0" w:color="auto"/>
              <w:right w:val="single" w:sz="4" w:space="0" w:color="auto"/>
            </w:tcBorders>
            <w:vAlign w:val="center"/>
          </w:tcPr>
          <w:p w14:paraId="51AB5CFB" w14:textId="2C7BD86C" w:rsidR="00297869" w:rsidRPr="00513FA4" w:rsidRDefault="002E1E47" w:rsidP="00110F5C">
            <w:pPr>
              <w:pStyle w:val="Tabladeilustraciones"/>
              <w:keepNext/>
              <w:jc w:val="center"/>
            </w:pPr>
            <w:r>
              <w:t>0</w:t>
            </w:r>
          </w:p>
        </w:tc>
      </w:tr>
      <w:bookmarkEnd w:id="4"/>
    </w:tbl>
    <w:p w14:paraId="44F08C6D" w14:textId="5B481B3C" w:rsidR="00297869" w:rsidRDefault="00297869" w:rsidP="004B01CD">
      <w:pPr>
        <w:jc w:val="both"/>
        <w:rPr>
          <w:color w:val="FF0000"/>
          <w:szCs w:val="24"/>
        </w:rPr>
      </w:pPr>
    </w:p>
    <w:p w14:paraId="7849C20E" w14:textId="40A69D8E" w:rsidR="00297869" w:rsidRDefault="00297869" w:rsidP="004B01CD">
      <w:pPr>
        <w:jc w:val="both"/>
        <w:rPr>
          <w:color w:val="FF0000"/>
          <w:szCs w:val="24"/>
        </w:rPr>
      </w:pPr>
    </w:p>
    <w:p w14:paraId="5E54D7D3" w14:textId="77777777" w:rsidR="00297869" w:rsidRDefault="00297869" w:rsidP="004B01CD">
      <w:pPr>
        <w:jc w:val="both"/>
        <w:rPr>
          <w:color w:val="FF0000"/>
          <w:szCs w:val="24"/>
        </w:rPr>
      </w:pPr>
    </w:p>
    <w:p w14:paraId="78F3C203" w14:textId="282F028C" w:rsidR="00DA6F05" w:rsidRPr="00B10833" w:rsidRDefault="004B01CD" w:rsidP="005868CA">
      <w:pPr>
        <w:pStyle w:val="Textoindependiente"/>
      </w:pPr>
      <w:r w:rsidRPr="002E1E47">
        <w:t xml:space="preserve">Durante el periodo, la Sociedad soportó retenciones por importe de </w:t>
      </w:r>
      <w:r w:rsidR="002E1E47" w:rsidRPr="002E1E47">
        <w:t>7.001,29</w:t>
      </w:r>
      <w:r w:rsidR="0036575C" w:rsidRPr="002E1E47">
        <w:t xml:space="preserve"> </w:t>
      </w:r>
      <w:r w:rsidRPr="002E1E47">
        <w:t>euros</w:t>
      </w:r>
      <w:r w:rsidR="00CD6F47" w:rsidRPr="002E1E47">
        <w:t xml:space="preserve"> y realizó pagos a cuenta del Impuesto por </w:t>
      </w:r>
      <w:r w:rsidR="002E1E47" w:rsidRPr="002E1E47">
        <w:t>14.896,86</w:t>
      </w:r>
      <w:r w:rsidR="00CD6F47" w:rsidRPr="002E1E47">
        <w:t>€</w:t>
      </w:r>
      <w:r w:rsidRPr="002E1E47">
        <w:t xml:space="preserve">. Por otra parte, el </w:t>
      </w:r>
      <w:r w:rsidR="007F687E" w:rsidRPr="002E1E47">
        <w:t xml:space="preserve">resultado del impuesto del ejercicio es </w:t>
      </w:r>
      <w:r w:rsidRPr="002E1E47">
        <w:t xml:space="preserve">de </w:t>
      </w:r>
      <w:r w:rsidR="002E1E47" w:rsidRPr="002E1E47">
        <w:t>21.898,15</w:t>
      </w:r>
      <w:r w:rsidRPr="002E1E47">
        <w:t xml:space="preserve"> euros a </w:t>
      </w:r>
      <w:r w:rsidR="002E1E47" w:rsidRPr="002E1E47">
        <w:t>devolver</w:t>
      </w:r>
      <w:r w:rsidR="00513FA4" w:rsidRPr="002E1E47">
        <w:t>.</w:t>
      </w:r>
    </w:p>
    <w:p w14:paraId="3A66E520" w14:textId="77777777" w:rsidR="00384EE6" w:rsidRPr="004A5AA8" w:rsidRDefault="00384EE6" w:rsidP="005868CA">
      <w:pPr>
        <w:pStyle w:val="Textoindependiente"/>
        <w:rPr>
          <w:color w:val="FF0000"/>
        </w:rPr>
      </w:pPr>
    </w:p>
    <w:p w14:paraId="1870D62B" w14:textId="77777777" w:rsidR="00803E10" w:rsidRPr="002233C7" w:rsidRDefault="00803E10" w:rsidP="005868CA">
      <w:pPr>
        <w:pStyle w:val="Textoindependiente"/>
        <w:rPr>
          <w:color w:val="FF0000"/>
        </w:rPr>
      </w:pPr>
    </w:p>
    <w:p w14:paraId="3BD4E56C" w14:textId="77777777" w:rsidR="004B01CD" w:rsidRDefault="004B01CD" w:rsidP="00696DFA">
      <w:pPr>
        <w:pStyle w:val="Prrafodelista"/>
        <w:numPr>
          <w:ilvl w:val="2"/>
          <w:numId w:val="41"/>
        </w:numPr>
        <w:tabs>
          <w:tab w:val="left" w:pos="426"/>
        </w:tabs>
        <w:jc w:val="both"/>
        <w:rPr>
          <w:b/>
          <w:bCs/>
          <w:i/>
          <w:lang w:val="es-ES"/>
        </w:rPr>
      </w:pPr>
      <w:r w:rsidRPr="00696DFA">
        <w:rPr>
          <w:b/>
          <w:bCs/>
          <w:i/>
          <w:lang w:val="es-ES"/>
        </w:rPr>
        <w:t>Activos y pasivos por impuestos diferidos</w:t>
      </w:r>
    </w:p>
    <w:p w14:paraId="717223BE" w14:textId="77777777" w:rsidR="0049602F" w:rsidRPr="00F315F5" w:rsidRDefault="0049602F" w:rsidP="004B01CD">
      <w:pPr>
        <w:jc w:val="both"/>
        <w:rPr>
          <w:szCs w:val="24"/>
        </w:rPr>
      </w:pPr>
    </w:p>
    <w:p w14:paraId="42D2231D" w14:textId="55F43D3D" w:rsidR="00806763" w:rsidRPr="00772A75" w:rsidRDefault="00772A75" w:rsidP="004B01CD">
      <w:pPr>
        <w:jc w:val="both"/>
        <w:rPr>
          <w:szCs w:val="24"/>
        </w:rPr>
      </w:pPr>
      <w:r w:rsidRPr="002E1E47">
        <w:rPr>
          <w:szCs w:val="24"/>
        </w:rPr>
        <w:t xml:space="preserve">A 31 de diciembre, </w:t>
      </w:r>
      <w:r w:rsidR="00437CD5">
        <w:rPr>
          <w:szCs w:val="24"/>
        </w:rPr>
        <w:t>figuran en balance 38.021,24€ en concepto de activos por impuestos diferidos que corresponden al crédito por las perdidas generadas durante el ejercicio una vez descontado el importe del crédito de la reserva de nivelación aplicada y la deducción por activos fijos nuevos generada y no aplicada en este ejercicio.</w:t>
      </w:r>
    </w:p>
    <w:p w14:paraId="1299E961" w14:textId="77777777" w:rsidR="00C311C5" w:rsidRPr="00F315F5" w:rsidRDefault="00C311C5" w:rsidP="004B01CD">
      <w:pPr>
        <w:jc w:val="both"/>
        <w:rPr>
          <w:szCs w:val="24"/>
        </w:rPr>
      </w:pPr>
    </w:p>
    <w:p w14:paraId="359AD98C" w14:textId="77777777" w:rsidR="004B01CD" w:rsidRPr="008C50F0" w:rsidRDefault="004B01CD" w:rsidP="004B01CD">
      <w:pPr>
        <w:widowControl w:val="0"/>
        <w:jc w:val="both"/>
        <w:rPr>
          <w:snapToGrid w:val="0"/>
          <w:szCs w:val="24"/>
        </w:rPr>
      </w:pPr>
      <w:r w:rsidRPr="008B76F2">
        <w:rPr>
          <w:snapToGrid w:val="0"/>
          <w:szCs w:val="24"/>
        </w:rPr>
        <w:t>No existen provisiones derivadas del impuesto sobre beneficios ni acontecimientos posteriores al cierre que supongan una modificación de la normativa fiscal que afecte a los activos y pasivos fiscales registrados.</w:t>
      </w:r>
    </w:p>
    <w:p w14:paraId="1098A941" w14:textId="12D8D28E" w:rsidR="004B01CD" w:rsidRDefault="004B01CD" w:rsidP="004B01CD">
      <w:pPr>
        <w:pStyle w:val="Textoindependiente"/>
        <w:ind w:left="284"/>
      </w:pPr>
    </w:p>
    <w:p w14:paraId="05121948" w14:textId="77777777" w:rsidR="006906A8" w:rsidRPr="008C50F0" w:rsidRDefault="006906A8" w:rsidP="006906A8">
      <w:pPr>
        <w:pStyle w:val="Textoindependiente"/>
      </w:pPr>
    </w:p>
    <w:p w14:paraId="4BA1CA7A" w14:textId="77777777" w:rsidR="004B01CD" w:rsidRPr="00E8658D" w:rsidRDefault="00D23D1B" w:rsidP="00696DFA">
      <w:pPr>
        <w:pStyle w:val="Prrafodelista"/>
        <w:numPr>
          <w:ilvl w:val="2"/>
          <w:numId w:val="41"/>
        </w:numPr>
        <w:tabs>
          <w:tab w:val="left" w:pos="426"/>
        </w:tabs>
        <w:jc w:val="both"/>
        <w:rPr>
          <w:b/>
          <w:bCs/>
          <w:i/>
        </w:rPr>
      </w:pPr>
      <w:r>
        <w:rPr>
          <w:b/>
          <w:i/>
        </w:rPr>
        <w:t xml:space="preserve">Bases </w:t>
      </w:r>
      <w:proofErr w:type="spellStart"/>
      <w:r>
        <w:rPr>
          <w:b/>
          <w:i/>
        </w:rPr>
        <w:t>Imponibles</w:t>
      </w:r>
      <w:proofErr w:type="spellEnd"/>
      <w:r>
        <w:rPr>
          <w:b/>
          <w:i/>
        </w:rPr>
        <w:t xml:space="preserve"> </w:t>
      </w:r>
      <w:proofErr w:type="spellStart"/>
      <w:r>
        <w:rPr>
          <w:b/>
          <w:i/>
        </w:rPr>
        <w:t>N</w:t>
      </w:r>
      <w:r w:rsidR="004B01CD" w:rsidRPr="00696DFA">
        <w:rPr>
          <w:b/>
          <w:i/>
        </w:rPr>
        <w:t>egativas</w:t>
      </w:r>
      <w:proofErr w:type="spellEnd"/>
    </w:p>
    <w:p w14:paraId="18E17613" w14:textId="77777777" w:rsidR="00E8658D" w:rsidRPr="00C716A4" w:rsidRDefault="00E8658D" w:rsidP="00C716A4">
      <w:pPr>
        <w:tabs>
          <w:tab w:val="left" w:pos="426"/>
        </w:tabs>
        <w:ind w:left="360"/>
        <w:jc w:val="both"/>
        <w:rPr>
          <w:b/>
          <w:bCs/>
          <w:i/>
        </w:rPr>
      </w:pPr>
    </w:p>
    <w:p w14:paraId="1F318657" w14:textId="5FC63061" w:rsidR="006906A8" w:rsidRPr="003E1860" w:rsidRDefault="00E8658D" w:rsidP="000C2E84">
      <w:pPr>
        <w:pStyle w:val="Textoindependiente"/>
      </w:pPr>
      <w:r w:rsidRPr="000C2E84">
        <w:t>A</w:t>
      </w:r>
      <w:r w:rsidR="004B01CD" w:rsidRPr="000C2E84">
        <w:t xml:space="preserve"> 31 de diciembre de </w:t>
      </w:r>
      <w:r w:rsidR="000C2E84" w:rsidRPr="000C2E84">
        <w:t>20</w:t>
      </w:r>
      <w:r w:rsidR="00297869">
        <w:t>20</w:t>
      </w:r>
      <w:r w:rsidRPr="000C2E84">
        <w:t xml:space="preserve">, </w:t>
      </w:r>
      <w:r w:rsidR="00297869">
        <w:t>no existen</w:t>
      </w:r>
      <w:r w:rsidR="000C2E84" w:rsidRPr="000C2E84">
        <w:t xml:space="preserve"> bases imponibles de ejercicios anteriores pendientes de compensar</w:t>
      </w:r>
    </w:p>
    <w:p w14:paraId="50D048A1" w14:textId="77777777" w:rsidR="00A36F5C" w:rsidRPr="008C50F0" w:rsidRDefault="00A36F5C" w:rsidP="00C716A4">
      <w:pPr>
        <w:pStyle w:val="Textoindependiente"/>
      </w:pPr>
    </w:p>
    <w:p w14:paraId="401F89CD" w14:textId="0B48E65F" w:rsidR="004B01CD" w:rsidRPr="00255120" w:rsidRDefault="004B01CD" w:rsidP="00255120">
      <w:pPr>
        <w:pStyle w:val="Prrafodelista"/>
        <w:numPr>
          <w:ilvl w:val="2"/>
          <w:numId w:val="41"/>
        </w:numPr>
        <w:tabs>
          <w:tab w:val="left" w:pos="426"/>
        </w:tabs>
        <w:jc w:val="both"/>
        <w:rPr>
          <w:b/>
          <w:bCs/>
          <w:i/>
        </w:rPr>
      </w:pPr>
      <w:proofErr w:type="spellStart"/>
      <w:r w:rsidRPr="00255120">
        <w:rPr>
          <w:b/>
          <w:i/>
        </w:rPr>
        <w:t>Incentivos</w:t>
      </w:r>
      <w:proofErr w:type="spellEnd"/>
      <w:r w:rsidRPr="00255120">
        <w:rPr>
          <w:b/>
          <w:i/>
        </w:rPr>
        <w:t xml:space="preserve"> </w:t>
      </w:r>
      <w:proofErr w:type="spellStart"/>
      <w:r w:rsidRPr="00255120">
        <w:rPr>
          <w:b/>
          <w:i/>
        </w:rPr>
        <w:t>fiscales</w:t>
      </w:r>
      <w:proofErr w:type="spellEnd"/>
      <w:r w:rsidRPr="00255120">
        <w:rPr>
          <w:b/>
          <w:i/>
        </w:rPr>
        <w:t xml:space="preserve"> </w:t>
      </w:r>
    </w:p>
    <w:p w14:paraId="14F648A1" w14:textId="77777777" w:rsidR="004B01CD" w:rsidRPr="008C50F0" w:rsidRDefault="004B01CD" w:rsidP="004B01CD">
      <w:pPr>
        <w:jc w:val="both"/>
        <w:rPr>
          <w:szCs w:val="24"/>
        </w:rPr>
      </w:pPr>
    </w:p>
    <w:p w14:paraId="474D0315" w14:textId="408B6E24" w:rsidR="00C92FAD" w:rsidRPr="000C2E84" w:rsidRDefault="004B01CD" w:rsidP="000B0A3D">
      <w:pPr>
        <w:pStyle w:val="Textoindependiente"/>
        <w:rPr>
          <w:i/>
        </w:rPr>
      </w:pPr>
      <w:r w:rsidRPr="000C2E84">
        <w:t>El detalle de las deducciones gene</w:t>
      </w:r>
      <w:r w:rsidR="002233C7" w:rsidRPr="000C2E84">
        <w:t xml:space="preserve">radas, aplicadas y pendientes, </w:t>
      </w:r>
      <w:r w:rsidRPr="000C2E84">
        <w:t xml:space="preserve">a 31 de diciembre de </w:t>
      </w:r>
      <w:r w:rsidR="00E303F2" w:rsidRPr="000C2E84">
        <w:t>20</w:t>
      </w:r>
      <w:r w:rsidR="00297869">
        <w:t xml:space="preserve">20 </w:t>
      </w:r>
      <w:r w:rsidRPr="000C2E84">
        <w:t xml:space="preserve">es el siguiente: </w:t>
      </w:r>
    </w:p>
    <w:p w14:paraId="707C181D" w14:textId="55AE3A86" w:rsidR="00C311C5" w:rsidRDefault="00C311C5" w:rsidP="008B76F2">
      <w:pPr>
        <w:pStyle w:val="Textoindependiente"/>
      </w:pPr>
    </w:p>
    <w:p w14:paraId="1807FEA6" w14:textId="05C0E33A" w:rsidR="00612D7A" w:rsidRDefault="00612D7A" w:rsidP="008B76F2">
      <w:pPr>
        <w:pStyle w:val="Textoindependiente"/>
      </w:pPr>
    </w:p>
    <w:p w14:paraId="53D9CF08" w14:textId="65E85120" w:rsidR="00612D7A" w:rsidRDefault="00612D7A" w:rsidP="008B76F2">
      <w:pPr>
        <w:pStyle w:val="Textoindependiente"/>
      </w:pPr>
    </w:p>
    <w:p w14:paraId="1C7D360F" w14:textId="77777777" w:rsidR="00612D7A" w:rsidRDefault="00612D7A" w:rsidP="008B76F2">
      <w:pPr>
        <w:pStyle w:val="Textoindependiente"/>
      </w:pPr>
    </w:p>
    <w:p w14:paraId="63B6086B" w14:textId="77777777" w:rsidR="00C311C5" w:rsidRPr="000C2E84" w:rsidRDefault="00C311C5" w:rsidP="00B106AC">
      <w:pPr>
        <w:pStyle w:val="Textoindependiente"/>
      </w:pPr>
    </w:p>
    <w:tbl>
      <w:tblPr>
        <w:tblW w:w="8845" w:type="dxa"/>
        <w:jc w:val="center"/>
        <w:tblCellMar>
          <w:left w:w="0" w:type="dxa"/>
          <w:right w:w="0" w:type="dxa"/>
        </w:tblCellMar>
        <w:tblLook w:val="04A0" w:firstRow="1" w:lastRow="0" w:firstColumn="1" w:lastColumn="0" w:noHBand="0" w:noVBand="1"/>
      </w:tblPr>
      <w:tblGrid>
        <w:gridCol w:w="77"/>
        <w:gridCol w:w="1054"/>
        <w:gridCol w:w="62"/>
        <w:gridCol w:w="17"/>
        <w:gridCol w:w="2459"/>
        <w:gridCol w:w="178"/>
        <w:gridCol w:w="68"/>
        <w:gridCol w:w="1258"/>
        <w:gridCol w:w="484"/>
        <w:gridCol w:w="325"/>
        <w:gridCol w:w="109"/>
        <w:gridCol w:w="378"/>
        <w:gridCol w:w="1360"/>
        <w:gridCol w:w="1016"/>
      </w:tblGrid>
      <w:tr w:rsidR="00772A75" w:rsidRPr="002E1E47" w14:paraId="4EBDE572" w14:textId="77777777" w:rsidTr="000C2E84">
        <w:trPr>
          <w:cantSplit/>
          <w:jc w:val="center"/>
        </w:trPr>
        <w:tc>
          <w:tcPr>
            <w:tcW w:w="75" w:type="dxa"/>
            <w:vAlign w:val="center"/>
            <w:hideMark/>
          </w:tcPr>
          <w:p w14:paraId="596DE2B0" w14:textId="77777777" w:rsidR="004B01CD" w:rsidRPr="00772A75" w:rsidRDefault="004B01CD" w:rsidP="004B01CD">
            <w:pPr>
              <w:jc w:val="center"/>
              <w:rPr>
                <w:sz w:val="20"/>
                <w:szCs w:val="20"/>
                <w:lang w:val="es-ES_tradnl"/>
              </w:rPr>
            </w:pPr>
          </w:p>
        </w:tc>
        <w:tc>
          <w:tcPr>
            <w:tcW w:w="3722" w:type="dxa"/>
            <w:gridSpan w:val="5"/>
            <w:tcBorders>
              <w:top w:val="single" w:sz="8" w:space="0" w:color="auto"/>
              <w:left w:val="single" w:sz="8" w:space="0" w:color="auto"/>
              <w:bottom w:val="single" w:sz="4" w:space="0" w:color="auto"/>
              <w:right w:val="single" w:sz="8" w:space="0" w:color="auto"/>
            </w:tcBorders>
            <w:tcMar>
              <w:top w:w="0" w:type="dxa"/>
              <w:left w:w="42" w:type="dxa"/>
              <w:bottom w:w="0" w:type="dxa"/>
              <w:right w:w="42" w:type="dxa"/>
            </w:tcMar>
            <w:vAlign w:val="center"/>
            <w:hideMark/>
          </w:tcPr>
          <w:p w14:paraId="679E5067" w14:textId="77777777" w:rsidR="004B01CD" w:rsidRPr="002E1E47" w:rsidRDefault="004B01CD" w:rsidP="004B01CD">
            <w:pPr>
              <w:pStyle w:val="Tabladeilustraciones"/>
              <w:keepNext/>
              <w:jc w:val="center"/>
            </w:pPr>
            <w:r w:rsidRPr="002E1E47">
              <w:t>Deducción</w:t>
            </w:r>
          </w:p>
        </w:tc>
        <w:tc>
          <w:tcPr>
            <w:tcW w:w="1309" w:type="dxa"/>
            <w:gridSpan w:val="2"/>
            <w:tcBorders>
              <w:top w:val="single" w:sz="8" w:space="0" w:color="auto"/>
              <w:left w:val="nil"/>
              <w:bottom w:val="single" w:sz="4" w:space="0" w:color="auto"/>
              <w:right w:val="single" w:sz="8" w:space="0" w:color="auto"/>
            </w:tcBorders>
            <w:tcMar>
              <w:top w:w="0" w:type="dxa"/>
              <w:left w:w="42" w:type="dxa"/>
              <w:bottom w:w="0" w:type="dxa"/>
              <w:right w:w="42" w:type="dxa"/>
            </w:tcMar>
            <w:vAlign w:val="center"/>
            <w:hideMark/>
          </w:tcPr>
          <w:p w14:paraId="3F7F70C9" w14:textId="77777777" w:rsidR="004B01CD" w:rsidRPr="002E1E47" w:rsidRDefault="004B01CD" w:rsidP="004B01CD">
            <w:pPr>
              <w:pStyle w:val="Tabladeilustraciones"/>
              <w:keepNext/>
              <w:jc w:val="center"/>
            </w:pPr>
            <w:r w:rsidRPr="002E1E47">
              <w:t>Pendiente/ Generada</w:t>
            </w:r>
          </w:p>
        </w:tc>
        <w:tc>
          <w:tcPr>
            <w:tcW w:w="1280" w:type="dxa"/>
            <w:gridSpan w:val="4"/>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1716A20B" w14:textId="77777777" w:rsidR="004B01CD" w:rsidRPr="002E1E47" w:rsidRDefault="004B01CD" w:rsidP="004B01CD">
            <w:pPr>
              <w:pStyle w:val="Tabladeilustraciones"/>
              <w:keepNext/>
              <w:jc w:val="center"/>
            </w:pPr>
            <w:r w:rsidRPr="002E1E47">
              <w:t>Aplicada</w:t>
            </w:r>
          </w:p>
        </w:tc>
        <w:tc>
          <w:tcPr>
            <w:tcW w:w="1343" w:type="dxa"/>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5A533D5C" w14:textId="77777777" w:rsidR="004B01CD" w:rsidRPr="002E1E47" w:rsidRDefault="004B01CD" w:rsidP="004B01CD">
            <w:pPr>
              <w:pStyle w:val="Tabladeilustraciones"/>
              <w:keepNext/>
              <w:jc w:val="center"/>
            </w:pPr>
            <w:r w:rsidRPr="002E1E47">
              <w:t>Pendiente de aplicación</w:t>
            </w:r>
          </w:p>
        </w:tc>
        <w:tc>
          <w:tcPr>
            <w:tcW w:w="1003" w:type="dxa"/>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4665E98F" w14:textId="77777777" w:rsidR="004B01CD" w:rsidRPr="002E1E47" w:rsidRDefault="004B01CD" w:rsidP="004B01CD">
            <w:pPr>
              <w:pStyle w:val="Tabladeilustraciones"/>
              <w:keepNext/>
              <w:jc w:val="center"/>
            </w:pPr>
            <w:r w:rsidRPr="002E1E47">
              <w:t>Límite (año)</w:t>
            </w:r>
          </w:p>
        </w:tc>
      </w:tr>
      <w:tr w:rsidR="00772A75" w:rsidRPr="002E1E47" w14:paraId="6E96BD82" w14:textId="77777777" w:rsidTr="000C2E84">
        <w:trPr>
          <w:trHeight w:val="567"/>
          <w:jc w:val="center"/>
        </w:trPr>
        <w:tc>
          <w:tcPr>
            <w:tcW w:w="75" w:type="dxa"/>
            <w:vAlign w:val="center"/>
            <w:hideMark/>
          </w:tcPr>
          <w:p w14:paraId="66181FBA" w14:textId="77777777" w:rsidR="004B01CD" w:rsidRPr="002E1E47" w:rsidRDefault="004B01CD" w:rsidP="004B01CD">
            <w:pPr>
              <w:jc w:val="center"/>
              <w:rPr>
                <w:sz w:val="20"/>
                <w:szCs w:val="20"/>
              </w:rPr>
            </w:pPr>
          </w:p>
        </w:tc>
        <w:tc>
          <w:tcPr>
            <w:tcW w:w="3722" w:type="dxa"/>
            <w:gridSpan w:val="5"/>
            <w:tcBorders>
              <w:top w:val="nil"/>
              <w:left w:val="single" w:sz="8" w:space="0" w:color="auto"/>
              <w:bottom w:val="nil"/>
              <w:right w:val="single" w:sz="8" w:space="0" w:color="auto"/>
            </w:tcBorders>
            <w:tcMar>
              <w:top w:w="0" w:type="dxa"/>
              <w:left w:w="42" w:type="dxa"/>
              <w:bottom w:w="0" w:type="dxa"/>
              <w:right w:w="42" w:type="dxa"/>
            </w:tcMar>
            <w:vAlign w:val="center"/>
          </w:tcPr>
          <w:p w14:paraId="46861031" w14:textId="3A1F0207" w:rsidR="004C2EA0" w:rsidRPr="002E1E47" w:rsidRDefault="000C2E84" w:rsidP="000C2E84">
            <w:pPr>
              <w:jc w:val="center"/>
              <w:rPr>
                <w:sz w:val="20"/>
                <w:szCs w:val="20"/>
              </w:rPr>
            </w:pPr>
            <w:r w:rsidRPr="002E1E47">
              <w:rPr>
                <w:sz w:val="20"/>
                <w:szCs w:val="20"/>
              </w:rPr>
              <w:t>Activos fijos nuevos 20</w:t>
            </w:r>
            <w:r w:rsidR="002E1E47" w:rsidRPr="002E1E47">
              <w:rPr>
                <w:sz w:val="20"/>
                <w:szCs w:val="20"/>
              </w:rPr>
              <w:t>20</w:t>
            </w:r>
          </w:p>
        </w:tc>
        <w:tc>
          <w:tcPr>
            <w:tcW w:w="1309" w:type="dxa"/>
            <w:gridSpan w:val="2"/>
            <w:tcBorders>
              <w:top w:val="nil"/>
              <w:left w:val="nil"/>
              <w:bottom w:val="nil"/>
              <w:right w:val="single" w:sz="8" w:space="0" w:color="auto"/>
            </w:tcBorders>
            <w:tcMar>
              <w:top w:w="0" w:type="dxa"/>
              <w:left w:w="42" w:type="dxa"/>
              <w:bottom w:w="0" w:type="dxa"/>
              <w:right w:w="42" w:type="dxa"/>
            </w:tcMar>
            <w:vAlign w:val="center"/>
          </w:tcPr>
          <w:p w14:paraId="2027F7AD" w14:textId="540F27B3" w:rsidR="004B01CD" w:rsidRPr="002E1E47" w:rsidRDefault="002E1E47" w:rsidP="000C2E84">
            <w:pPr>
              <w:jc w:val="center"/>
              <w:rPr>
                <w:sz w:val="20"/>
                <w:szCs w:val="20"/>
              </w:rPr>
            </w:pPr>
            <w:r w:rsidRPr="002E1E47">
              <w:rPr>
                <w:sz w:val="20"/>
                <w:szCs w:val="20"/>
              </w:rPr>
              <w:t>973,73</w:t>
            </w:r>
          </w:p>
        </w:tc>
        <w:tc>
          <w:tcPr>
            <w:tcW w:w="1280" w:type="dxa"/>
            <w:gridSpan w:val="4"/>
            <w:tcBorders>
              <w:top w:val="nil"/>
              <w:left w:val="nil"/>
              <w:bottom w:val="nil"/>
              <w:right w:val="single" w:sz="8" w:space="0" w:color="auto"/>
            </w:tcBorders>
            <w:tcMar>
              <w:top w:w="0" w:type="dxa"/>
              <w:left w:w="42" w:type="dxa"/>
              <w:bottom w:w="0" w:type="dxa"/>
              <w:right w:w="42" w:type="dxa"/>
            </w:tcMar>
            <w:vAlign w:val="center"/>
          </w:tcPr>
          <w:p w14:paraId="38557373" w14:textId="2F95B51A" w:rsidR="004B01CD" w:rsidRPr="002E1E47" w:rsidRDefault="004B01CD" w:rsidP="0041395B">
            <w:pPr>
              <w:pStyle w:val="Tabladeilustraciones"/>
              <w:keepNext/>
              <w:ind w:right="36"/>
              <w:jc w:val="center"/>
            </w:pPr>
          </w:p>
        </w:tc>
        <w:tc>
          <w:tcPr>
            <w:tcW w:w="1343" w:type="dxa"/>
            <w:tcBorders>
              <w:top w:val="nil"/>
              <w:left w:val="nil"/>
              <w:bottom w:val="nil"/>
              <w:right w:val="single" w:sz="8" w:space="0" w:color="auto"/>
            </w:tcBorders>
            <w:tcMar>
              <w:top w:w="0" w:type="dxa"/>
              <w:left w:w="42" w:type="dxa"/>
              <w:bottom w:w="0" w:type="dxa"/>
              <w:right w:w="42" w:type="dxa"/>
            </w:tcMar>
            <w:vAlign w:val="center"/>
          </w:tcPr>
          <w:p w14:paraId="413AE72E" w14:textId="56D66EAE" w:rsidR="004B01CD" w:rsidRPr="002E1E47" w:rsidRDefault="002E1E47" w:rsidP="0041395B">
            <w:pPr>
              <w:jc w:val="center"/>
              <w:rPr>
                <w:sz w:val="20"/>
                <w:szCs w:val="20"/>
              </w:rPr>
            </w:pPr>
            <w:r w:rsidRPr="002E1E47">
              <w:rPr>
                <w:sz w:val="20"/>
                <w:szCs w:val="20"/>
              </w:rPr>
              <w:t>973,73</w:t>
            </w:r>
          </w:p>
        </w:tc>
        <w:tc>
          <w:tcPr>
            <w:tcW w:w="1003" w:type="dxa"/>
            <w:tcBorders>
              <w:top w:val="nil"/>
              <w:left w:val="nil"/>
              <w:bottom w:val="nil"/>
              <w:right w:val="single" w:sz="8" w:space="0" w:color="auto"/>
            </w:tcBorders>
            <w:tcMar>
              <w:top w:w="0" w:type="dxa"/>
              <w:left w:w="42" w:type="dxa"/>
              <w:bottom w:w="0" w:type="dxa"/>
              <w:right w:w="42" w:type="dxa"/>
            </w:tcMar>
            <w:vAlign w:val="center"/>
          </w:tcPr>
          <w:p w14:paraId="0BC3B8D7" w14:textId="27C60B20" w:rsidR="001E23A2" w:rsidRPr="002E1E47" w:rsidRDefault="00772A75" w:rsidP="002F5313">
            <w:pPr>
              <w:jc w:val="center"/>
              <w:rPr>
                <w:sz w:val="20"/>
                <w:szCs w:val="20"/>
              </w:rPr>
            </w:pPr>
            <w:r w:rsidRPr="002E1E47">
              <w:rPr>
                <w:sz w:val="20"/>
                <w:szCs w:val="20"/>
              </w:rPr>
              <w:t>203</w:t>
            </w:r>
            <w:r w:rsidR="002E1E47" w:rsidRPr="002E1E47">
              <w:rPr>
                <w:sz w:val="20"/>
                <w:szCs w:val="20"/>
              </w:rPr>
              <w:t>5</w:t>
            </w:r>
          </w:p>
        </w:tc>
      </w:tr>
      <w:tr w:rsidR="00772A75" w:rsidRPr="00772A75" w14:paraId="10E029A8" w14:textId="77777777" w:rsidTr="000C2E84">
        <w:trPr>
          <w:jc w:val="center"/>
        </w:trPr>
        <w:tc>
          <w:tcPr>
            <w:tcW w:w="75" w:type="dxa"/>
            <w:vAlign w:val="center"/>
            <w:hideMark/>
          </w:tcPr>
          <w:p w14:paraId="27F12747" w14:textId="77777777" w:rsidR="004B01CD" w:rsidRPr="002E1E47" w:rsidRDefault="004B01CD" w:rsidP="004B01CD">
            <w:pPr>
              <w:jc w:val="center"/>
              <w:rPr>
                <w:sz w:val="20"/>
                <w:szCs w:val="20"/>
              </w:rPr>
            </w:pPr>
          </w:p>
        </w:tc>
        <w:tc>
          <w:tcPr>
            <w:tcW w:w="3722" w:type="dxa"/>
            <w:gridSpan w:val="5"/>
            <w:tcBorders>
              <w:top w:val="nil"/>
              <w:left w:val="single" w:sz="8" w:space="0" w:color="auto"/>
              <w:bottom w:val="single" w:sz="8" w:space="0" w:color="auto"/>
              <w:right w:val="single" w:sz="8" w:space="0" w:color="auto"/>
            </w:tcBorders>
            <w:tcMar>
              <w:top w:w="0" w:type="dxa"/>
              <w:left w:w="42" w:type="dxa"/>
              <w:bottom w:w="0" w:type="dxa"/>
              <w:right w:w="42" w:type="dxa"/>
            </w:tcMar>
            <w:vAlign w:val="center"/>
          </w:tcPr>
          <w:p w14:paraId="697C9CCB" w14:textId="77777777" w:rsidR="000C2E84" w:rsidRPr="002E1E47" w:rsidRDefault="000C2E84" w:rsidP="000C2E84"/>
        </w:tc>
        <w:tc>
          <w:tcPr>
            <w:tcW w:w="1309" w:type="dxa"/>
            <w:gridSpan w:val="2"/>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6C97F4F4" w14:textId="77777777" w:rsidR="004B01CD" w:rsidRPr="002E1E47" w:rsidRDefault="004B01CD" w:rsidP="004B01CD">
            <w:pPr>
              <w:pStyle w:val="Tabladeilustraciones"/>
              <w:ind w:right="36"/>
              <w:jc w:val="center"/>
              <w:rPr>
                <w:b/>
                <w:bCs/>
              </w:rPr>
            </w:pPr>
          </w:p>
        </w:tc>
        <w:tc>
          <w:tcPr>
            <w:tcW w:w="1280" w:type="dxa"/>
            <w:gridSpan w:val="4"/>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1C9D3359" w14:textId="77777777" w:rsidR="004B01CD" w:rsidRPr="002E1E47" w:rsidRDefault="004B01CD" w:rsidP="004B01CD">
            <w:pPr>
              <w:pStyle w:val="Tabladeilustraciones"/>
              <w:ind w:right="36"/>
              <w:jc w:val="center"/>
              <w:rPr>
                <w:b/>
                <w:bCs/>
              </w:rPr>
            </w:pPr>
          </w:p>
        </w:tc>
        <w:tc>
          <w:tcPr>
            <w:tcW w:w="1343" w:type="dxa"/>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55C796CD" w14:textId="77777777" w:rsidR="004B01CD" w:rsidRPr="00772A75" w:rsidRDefault="0041395B" w:rsidP="004B01CD">
            <w:pPr>
              <w:pStyle w:val="Tabladeilustraciones"/>
              <w:ind w:right="36"/>
              <w:jc w:val="center"/>
              <w:rPr>
                <w:b/>
                <w:bCs/>
              </w:rPr>
            </w:pPr>
            <w:r w:rsidRPr="002E1E47">
              <w:rPr>
                <w:b/>
                <w:bCs/>
              </w:rPr>
              <w:t>0</w:t>
            </w:r>
          </w:p>
        </w:tc>
        <w:tc>
          <w:tcPr>
            <w:tcW w:w="1003" w:type="dxa"/>
            <w:tcBorders>
              <w:top w:val="single" w:sz="8" w:space="0" w:color="auto"/>
              <w:left w:val="nil"/>
              <w:bottom w:val="single" w:sz="8" w:space="0" w:color="auto"/>
              <w:right w:val="single" w:sz="8" w:space="0" w:color="auto"/>
            </w:tcBorders>
            <w:tcMar>
              <w:top w:w="0" w:type="dxa"/>
              <w:left w:w="42" w:type="dxa"/>
              <w:bottom w:w="0" w:type="dxa"/>
              <w:right w:w="42" w:type="dxa"/>
            </w:tcMar>
            <w:vAlign w:val="center"/>
            <w:hideMark/>
          </w:tcPr>
          <w:p w14:paraId="64F11C86" w14:textId="77777777" w:rsidR="004B01CD" w:rsidRPr="00772A75" w:rsidRDefault="004B01CD" w:rsidP="004B01CD">
            <w:pPr>
              <w:pStyle w:val="Tabladeilustraciones"/>
              <w:ind w:right="36"/>
              <w:jc w:val="center"/>
              <w:rPr>
                <w:b/>
                <w:bCs/>
              </w:rPr>
            </w:pPr>
          </w:p>
        </w:tc>
      </w:tr>
      <w:tr w:rsidR="00772A75" w:rsidRPr="00772A75" w14:paraId="0CDCCE14" w14:textId="77777777" w:rsidTr="000C2E84">
        <w:trPr>
          <w:gridBefore w:val="2"/>
          <w:gridAfter w:val="3"/>
          <w:wBefore w:w="1115" w:type="dxa"/>
          <w:wAfter w:w="2719" w:type="dxa"/>
          <w:jc w:val="center"/>
        </w:trPr>
        <w:tc>
          <w:tcPr>
            <w:tcW w:w="61" w:type="dxa"/>
            <w:vAlign w:val="center"/>
            <w:hideMark/>
          </w:tcPr>
          <w:p w14:paraId="02AAD7DE" w14:textId="77777777" w:rsidR="004B01CD" w:rsidRPr="00772A75" w:rsidRDefault="004B01CD" w:rsidP="004B01CD">
            <w:pPr>
              <w:jc w:val="center"/>
              <w:rPr>
                <w:sz w:val="20"/>
                <w:szCs w:val="20"/>
              </w:rPr>
            </w:pPr>
          </w:p>
        </w:tc>
        <w:tc>
          <w:tcPr>
            <w:tcW w:w="17" w:type="dxa"/>
            <w:vAlign w:val="center"/>
            <w:hideMark/>
          </w:tcPr>
          <w:p w14:paraId="6F281E36" w14:textId="77777777" w:rsidR="004B01CD" w:rsidRPr="00772A75" w:rsidRDefault="004B01CD" w:rsidP="004B01CD">
            <w:pPr>
              <w:jc w:val="center"/>
              <w:rPr>
                <w:sz w:val="20"/>
                <w:szCs w:val="20"/>
              </w:rPr>
            </w:pPr>
          </w:p>
        </w:tc>
        <w:tc>
          <w:tcPr>
            <w:tcW w:w="2428" w:type="dxa"/>
            <w:vAlign w:val="center"/>
            <w:hideMark/>
          </w:tcPr>
          <w:p w14:paraId="711BF128" w14:textId="77777777" w:rsidR="004B01CD" w:rsidRPr="00772A75" w:rsidRDefault="004B01CD" w:rsidP="004B01CD">
            <w:pPr>
              <w:jc w:val="center"/>
              <w:rPr>
                <w:sz w:val="20"/>
                <w:szCs w:val="20"/>
              </w:rPr>
            </w:pPr>
          </w:p>
        </w:tc>
        <w:tc>
          <w:tcPr>
            <w:tcW w:w="176" w:type="dxa"/>
            <w:vAlign w:val="center"/>
            <w:hideMark/>
          </w:tcPr>
          <w:p w14:paraId="57FF7FE5" w14:textId="77777777" w:rsidR="004B01CD" w:rsidRPr="00772A75" w:rsidRDefault="004B01CD" w:rsidP="004B01CD">
            <w:pPr>
              <w:jc w:val="center"/>
              <w:rPr>
                <w:sz w:val="20"/>
                <w:szCs w:val="20"/>
              </w:rPr>
            </w:pPr>
          </w:p>
        </w:tc>
        <w:tc>
          <w:tcPr>
            <w:tcW w:w="67" w:type="dxa"/>
            <w:vAlign w:val="center"/>
            <w:hideMark/>
          </w:tcPr>
          <w:p w14:paraId="7FDA5179" w14:textId="77777777" w:rsidR="004B01CD" w:rsidRPr="00772A75" w:rsidRDefault="004B01CD" w:rsidP="004B01CD">
            <w:pPr>
              <w:jc w:val="center"/>
              <w:rPr>
                <w:sz w:val="20"/>
                <w:szCs w:val="20"/>
              </w:rPr>
            </w:pPr>
          </w:p>
        </w:tc>
        <w:tc>
          <w:tcPr>
            <w:tcW w:w="1720" w:type="dxa"/>
            <w:gridSpan w:val="2"/>
            <w:vAlign w:val="center"/>
            <w:hideMark/>
          </w:tcPr>
          <w:p w14:paraId="757494A0" w14:textId="77777777" w:rsidR="004B01CD" w:rsidRPr="00772A75" w:rsidRDefault="004B01CD" w:rsidP="004B01CD">
            <w:pPr>
              <w:jc w:val="center"/>
              <w:rPr>
                <w:sz w:val="20"/>
                <w:szCs w:val="20"/>
              </w:rPr>
            </w:pPr>
          </w:p>
        </w:tc>
        <w:tc>
          <w:tcPr>
            <w:tcW w:w="321" w:type="dxa"/>
            <w:vAlign w:val="center"/>
            <w:hideMark/>
          </w:tcPr>
          <w:p w14:paraId="1476C021" w14:textId="77777777" w:rsidR="004B01CD" w:rsidRPr="00772A75" w:rsidRDefault="004B01CD" w:rsidP="004B01CD">
            <w:pPr>
              <w:jc w:val="center"/>
              <w:rPr>
                <w:sz w:val="20"/>
                <w:szCs w:val="20"/>
              </w:rPr>
            </w:pPr>
          </w:p>
        </w:tc>
        <w:tc>
          <w:tcPr>
            <w:tcW w:w="108" w:type="dxa"/>
            <w:vAlign w:val="center"/>
            <w:hideMark/>
          </w:tcPr>
          <w:p w14:paraId="2AB56B29" w14:textId="77777777" w:rsidR="004B01CD" w:rsidRPr="00772A75" w:rsidRDefault="004B01CD" w:rsidP="004B01CD">
            <w:pPr>
              <w:jc w:val="center"/>
              <w:rPr>
                <w:sz w:val="20"/>
                <w:szCs w:val="20"/>
              </w:rPr>
            </w:pPr>
          </w:p>
        </w:tc>
      </w:tr>
    </w:tbl>
    <w:p w14:paraId="12B9FE56" w14:textId="77777777" w:rsidR="00B106AC" w:rsidRDefault="00B106AC" w:rsidP="00346AA6">
      <w:pPr>
        <w:pStyle w:val="Textoindependiente"/>
      </w:pPr>
    </w:p>
    <w:p w14:paraId="045EF5E6" w14:textId="77777777" w:rsidR="006C4991" w:rsidRDefault="004B01CD" w:rsidP="00346AA6">
      <w:pPr>
        <w:pStyle w:val="Textoindependiente"/>
      </w:pPr>
      <w:r w:rsidRPr="006B1F0B">
        <w:t>Respecto a la deducción por inversión en activos fijos nuevos, los elementos que dan derecho a la misma, deben permanecer en funcionamiento en la Sociedad durante cinco años, salvo que la vida útil fuera inferior.</w:t>
      </w:r>
    </w:p>
    <w:p w14:paraId="4A0C2510" w14:textId="77777777" w:rsidR="00C93745" w:rsidRDefault="00C93745" w:rsidP="00346AA6">
      <w:pPr>
        <w:pStyle w:val="Textoindependiente"/>
      </w:pPr>
    </w:p>
    <w:p w14:paraId="4EF6AC9B" w14:textId="77777777" w:rsidR="00F315F5" w:rsidRPr="008C50F0" w:rsidRDefault="00F315F5" w:rsidP="00346AA6">
      <w:pPr>
        <w:pStyle w:val="Textoindependiente"/>
      </w:pPr>
    </w:p>
    <w:p w14:paraId="68488F52" w14:textId="77777777" w:rsidR="004B01CD" w:rsidRPr="005868CA" w:rsidRDefault="004B01CD" w:rsidP="005868CA">
      <w:pPr>
        <w:pStyle w:val="Prrafodelista"/>
        <w:numPr>
          <w:ilvl w:val="2"/>
          <w:numId w:val="41"/>
        </w:numPr>
        <w:tabs>
          <w:tab w:val="left" w:pos="426"/>
        </w:tabs>
        <w:jc w:val="both"/>
        <w:rPr>
          <w:b/>
          <w:bCs/>
          <w:i/>
          <w:lang w:val="es-ES"/>
        </w:rPr>
      </w:pPr>
      <w:r w:rsidRPr="005868CA">
        <w:rPr>
          <w:b/>
          <w:bCs/>
          <w:i/>
          <w:lang w:val="es-ES"/>
        </w:rPr>
        <w:t>Ejercicios pendientes de comprobación y actuaciones inspectoras</w:t>
      </w:r>
    </w:p>
    <w:p w14:paraId="42AF34E6" w14:textId="77777777" w:rsidR="004B01CD" w:rsidRPr="008C50F0" w:rsidRDefault="004B01CD" w:rsidP="004B01CD">
      <w:pPr>
        <w:pStyle w:val="Textoindependiente"/>
        <w:ind w:left="284"/>
      </w:pPr>
    </w:p>
    <w:p w14:paraId="568D3BE9" w14:textId="21CE7D6D" w:rsidR="004B01CD" w:rsidRPr="006D1BB0" w:rsidRDefault="004B01CD" w:rsidP="004B01CD">
      <w:pPr>
        <w:pStyle w:val="Textoindependiente"/>
      </w:pPr>
      <w:r w:rsidRPr="006D1BB0">
        <w:t xml:space="preserve">Según establece la legislación vigente, los impuestos no pueden considerarse definitivamente liquidados hasta que las declaraciones presentadas hayan sido inspeccionadas por las autoridades fiscales o haya transcurrido el plazo de prescripción de cuatro años. Al cierre del ejercicio </w:t>
      </w:r>
      <w:r w:rsidR="00E303F2">
        <w:t>20</w:t>
      </w:r>
      <w:r w:rsidR="00297869">
        <w:t>20</w:t>
      </w:r>
      <w:r w:rsidRPr="006D1BB0">
        <w:t xml:space="preserve"> la Sociedad tiene abiertos a inspección los últimos cuatro ejercicios para todos los impuestos que le son de aplicación (cinco en el caso del Impuesto sobre Sociedades). Los Administradores de la Sociedad consideran que se han practicado adecuadamente las liquidaciones de los mencionados impuestos, por lo que, aún en caso de que surgieran discrepancias en la interpretación normativa vigente por el tratamiento fiscal otorgado a las operaciones, los eventuales pasivos resultantes, en caso de materializarse, no afectarían de manera significativa a las cuentas anuales adjuntas.</w:t>
      </w:r>
    </w:p>
    <w:p w14:paraId="03404A1E" w14:textId="77777777" w:rsidR="00F472CA" w:rsidRDefault="00F472CA" w:rsidP="009E576E">
      <w:pPr>
        <w:jc w:val="both"/>
      </w:pPr>
    </w:p>
    <w:p w14:paraId="546806A9" w14:textId="77777777" w:rsidR="00B80DC3" w:rsidRDefault="00B80DC3" w:rsidP="009E576E">
      <w:pPr>
        <w:jc w:val="both"/>
        <w:rPr>
          <w:b/>
          <w:i/>
          <w:u w:val="single"/>
          <w:lang w:val="es-ES_tradnl"/>
        </w:rPr>
      </w:pPr>
    </w:p>
    <w:p w14:paraId="35D47037" w14:textId="77777777" w:rsidR="00831DCE" w:rsidRPr="005868CA" w:rsidRDefault="00831DCE" w:rsidP="009E576E">
      <w:pPr>
        <w:jc w:val="both"/>
        <w:rPr>
          <w:b/>
          <w:i/>
          <w:u w:val="single"/>
          <w:lang w:val="es-ES_tradnl"/>
        </w:rPr>
      </w:pPr>
      <w:r w:rsidRPr="005868CA">
        <w:rPr>
          <w:b/>
          <w:i/>
          <w:u w:val="single"/>
          <w:lang w:val="es-ES_tradnl"/>
        </w:rPr>
        <w:t>4.5.- Ingresos y gastos</w:t>
      </w:r>
    </w:p>
    <w:p w14:paraId="31E1D143" w14:textId="77777777" w:rsidR="00831DCE" w:rsidRDefault="00831DCE" w:rsidP="009E576E">
      <w:pPr>
        <w:jc w:val="both"/>
        <w:rPr>
          <w:i/>
          <w:u w:val="single"/>
          <w:lang w:val="es-ES_tradnl"/>
        </w:rPr>
      </w:pPr>
    </w:p>
    <w:p w14:paraId="6B53E023" w14:textId="77777777" w:rsidR="006906A8" w:rsidRDefault="00831DCE" w:rsidP="009E576E">
      <w:pPr>
        <w:jc w:val="both"/>
        <w:rPr>
          <w:lang w:val="es-ES_tradnl"/>
        </w:rPr>
      </w:pPr>
      <w:r w:rsidRPr="00831DCE">
        <w:rPr>
          <w:lang w:val="es-ES_tradnl"/>
        </w:rPr>
        <w:t>Todos aquellos gastos inherentes a las compras</w:t>
      </w:r>
      <w:r>
        <w:rPr>
          <w:lang w:val="es-ES_tradnl"/>
        </w:rPr>
        <w:t xml:space="preserve"> han sido considerados como mayor importe de la compra, incluyendo IGIC no deducible. Los</w:t>
      </w:r>
      <w:r w:rsidR="00C97D59">
        <w:rPr>
          <w:lang w:val="es-ES_tradnl"/>
        </w:rPr>
        <w:t xml:space="preserve"> descuentos sobre </w:t>
      </w:r>
      <w:r>
        <w:rPr>
          <w:lang w:val="es-ES_tradnl"/>
        </w:rPr>
        <w:t>c</w:t>
      </w:r>
      <w:r w:rsidR="00C97D59">
        <w:rPr>
          <w:lang w:val="es-ES_tradnl"/>
        </w:rPr>
        <w:t>o</w:t>
      </w:r>
      <w:r>
        <w:rPr>
          <w:lang w:val="es-ES_tradnl"/>
        </w:rPr>
        <w:t xml:space="preserve">mpras incluidos en </w:t>
      </w:r>
    </w:p>
    <w:p w14:paraId="74E0EA54" w14:textId="77777777" w:rsidR="006906A8" w:rsidRDefault="006906A8" w:rsidP="009E576E">
      <w:pPr>
        <w:jc w:val="both"/>
        <w:rPr>
          <w:lang w:val="es-ES_tradnl"/>
        </w:rPr>
      </w:pPr>
    </w:p>
    <w:p w14:paraId="3F25C4AB" w14:textId="0BCA8F1C" w:rsidR="00831DCE" w:rsidRDefault="00831DCE" w:rsidP="009E576E">
      <w:pPr>
        <w:jc w:val="both"/>
        <w:rPr>
          <w:lang w:val="es-ES_tradnl"/>
        </w:rPr>
      </w:pPr>
      <w:r>
        <w:rPr>
          <w:lang w:val="es-ES_tradnl"/>
        </w:rPr>
        <w:t>factura, se han considerado como un menor importe de la compra, excepto los que sean por pronto pago. Los Rappels por compras han sido considerados separadamente.</w:t>
      </w:r>
    </w:p>
    <w:p w14:paraId="26F698FB" w14:textId="77777777" w:rsidR="00831DCE" w:rsidRDefault="00831DCE" w:rsidP="009E576E">
      <w:pPr>
        <w:jc w:val="both"/>
        <w:rPr>
          <w:lang w:val="es-ES_tradnl"/>
        </w:rPr>
      </w:pPr>
      <w:r>
        <w:rPr>
          <w:lang w:val="es-ES_tradnl"/>
        </w:rPr>
        <w:t>Los descuentos por pronto pago, en factura o no, se han considerado como ingresos financieros.</w:t>
      </w:r>
    </w:p>
    <w:p w14:paraId="5D57AC40" w14:textId="77777777" w:rsidR="000114C9" w:rsidRDefault="000114C9" w:rsidP="009E576E">
      <w:pPr>
        <w:jc w:val="both"/>
        <w:rPr>
          <w:lang w:val="es-ES_tradnl"/>
        </w:rPr>
      </w:pPr>
    </w:p>
    <w:p w14:paraId="0777EFA4" w14:textId="77777777" w:rsidR="000114C9" w:rsidRDefault="000114C9" w:rsidP="009E576E">
      <w:pPr>
        <w:jc w:val="both"/>
        <w:rPr>
          <w:lang w:val="es-ES_tradnl"/>
        </w:rPr>
      </w:pPr>
    </w:p>
    <w:p w14:paraId="1F3118A2" w14:textId="77777777" w:rsidR="00831DCE" w:rsidRDefault="00831DCE" w:rsidP="009E576E">
      <w:pPr>
        <w:jc w:val="both"/>
        <w:rPr>
          <w:lang w:val="es-ES_tradnl"/>
        </w:rPr>
      </w:pPr>
      <w:r>
        <w:rPr>
          <w:lang w:val="es-ES_tradnl"/>
        </w:rPr>
        <w:t>La cuenta de devoluciones de compras incluye los descuentos y similares posteriores a la recepción de la factura o incumplimientos de plazos de entrega o defectos de calidad.</w:t>
      </w:r>
    </w:p>
    <w:p w14:paraId="398ABF37" w14:textId="77777777" w:rsidR="00831DCE" w:rsidRDefault="00831DCE" w:rsidP="009E576E">
      <w:pPr>
        <w:jc w:val="both"/>
        <w:rPr>
          <w:lang w:val="es-ES_tradnl"/>
        </w:rPr>
      </w:pPr>
      <w:r>
        <w:rPr>
          <w:lang w:val="es-ES_tradnl"/>
        </w:rPr>
        <w:t>Todas estas normas de valoración han sido aplicadas también para los gastos de servicios.</w:t>
      </w:r>
    </w:p>
    <w:p w14:paraId="1AD67BF2" w14:textId="77777777" w:rsidR="00831DCE" w:rsidRDefault="00831DCE" w:rsidP="009E576E">
      <w:pPr>
        <w:jc w:val="both"/>
        <w:rPr>
          <w:lang w:val="es-ES_tradnl"/>
        </w:rPr>
      </w:pPr>
      <w:r>
        <w:rPr>
          <w:lang w:val="es-ES_tradnl"/>
        </w:rPr>
        <w:t>Las ventas han sido contabilizadas sin considerar ni los gastos inherentes a las mismas ni los impuestos que las gravan. Los Rappels se contabilizan separadamente y los descuentos por pronto pago se consideran como un menor importe de las ventas.</w:t>
      </w:r>
    </w:p>
    <w:p w14:paraId="45370ED9" w14:textId="77777777" w:rsidR="003968C6" w:rsidRDefault="003968C6" w:rsidP="009E576E">
      <w:pPr>
        <w:jc w:val="both"/>
        <w:rPr>
          <w:lang w:val="es-ES_tradnl"/>
        </w:rPr>
      </w:pPr>
    </w:p>
    <w:p w14:paraId="315DBA06" w14:textId="4095930C" w:rsidR="00831DCE" w:rsidRDefault="00831DCE" w:rsidP="009E576E">
      <w:pPr>
        <w:jc w:val="both"/>
        <w:rPr>
          <w:lang w:val="es-ES_tradnl"/>
        </w:rPr>
      </w:pPr>
      <w:r>
        <w:rPr>
          <w:lang w:val="es-ES_tradnl"/>
        </w:rPr>
        <w:t>En las devoluciones de ventas se han incluido todos aquellos descuentos y similares ocasionados después de recibir la factura por defectos de calidad o incumplimiento en los plazos de entrega.</w:t>
      </w:r>
    </w:p>
    <w:p w14:paraId="73B63A1D" w14:textId="77777777" w:rsidR="00831DCE" w:rsidRDefault="00831DCE" w:rsidP="009E576E">
      <w:pPr>
        <w:jc w:val="both"/>
        <w:rPr>
          <w:lang w:val="es-ES_tradnl"/>
        </w:rPr>
      </w:pPr>
      <w:r>
        <w:rPr>
          <w:lang w:val="es-ES_tradnl"/>
        </w:rPr>
        <w:t>En los ingresos por servicios se han aplicado las normas anteriores.</w:t>
      </w:r>
    </w:p>
    <w:p w14:paraId="2B85B0C1" w14:textId="77777777" w:rsidR="00D23D1B" w:rsidRDefault="00D23D1B" w:rsidP="009E576E">
      <w:pPr>
        <w:jc w:val="both"/>
        <w:rPr>
          <w:lang w:val="es-ES_tradnl"/>
        </w:rPr>
      </w:pPr>
    </w:p>
    <w:p w14:paraId="07D0F5FF" w14:textId="77777777" w:rsidR="00A77C4F" w:rsidRDefault="00A77C4F" w:rsidP="009E576E">
      <w:pPr>
        <w:jc w:val="both"/>
        <w:rPr>
          <w:lang w:val="es-ES_tradnl"/>
        </w:rPr>
      </w:pPr>
    </w:p>
    <w:p w14:paraId="31A680AF" w14:textId="77777777" w:rsidR="00831DCE" w:rsidRPr="005B522C" w:rsidRDefault="00831DCE" w:rsidP="009E576E">
      <w:pPr>
        <w:jc w:val="both"/>
        <w:rPr>
          <w:b/>
          <w:u w:val="single"/>
          <w:lang w:val="es-ES_tradnl"/>
        </w:rPr>
      </w:pPr>
      <w:r w:rsidRPr="005B522C">
        <w:rPr>
          <w:b/>
          <w:u w:val="single"/>
          <w:lang w:val="es-ES_tradnl"/>
        </w:rPr>
        <w:t>5.- Activo</w:t>
      </w:r>
      <w:r w:rsidR="0053332A" w:rsidRPr="005B522C">
        <w:rPr>
          <w:b/>
          <w:u w:val="single"/>
          <w:lang w:val="es-ES_tradnl"/>
        </w:rPr>
        <w:t xml:space="preserve"> Inmovilizado</w:t>
      </w:r>
    </w:p>
    <w:p w14:paraId="5BA380D4" w14:textId="77777777" w:rsidR="00831DCE" w:rsidRPr="005B522C" w:rsidRDefault="00831DCE" w:rsidP="009E576E">
      <w:pPr>
        <w:jc w:val="both"/>
        <w:rPr>
          <w:b/>
          <w:u w:val="single"/>
          <w:lang w:val="es-ES_tradnl"/>
        </w:rPr>
      </w:pPr>
    </w:p>
    <w:p w14:paraId="2A923B41" w14:textId="77777777" w:rsidR="00831DCE" w:rsidRPr="002E1E47" w:rsidRDefault="00831DCE" w:rsidP="009E576E">
      <w:pPr>
        <w:jc w:val="both"/>
        <w:rPr>
          <w:lang w:val="es-ES_tradnl"/>
        </w:rPr>
      </w:pPr>
      <w:r w:rsidRPr="002E1E47">
        <w:rPr>
          <w:lang w:val="es-ES_tradnl"/>
        </w:rPr>
        <w:t xml:space="preserve">El activo </w:t>
      </w:r>
      <w:r w:rsidR="0053332A" w:rsidRPr="002E1E47">
        <w:rPr>
          <w:lang w:val="es-ES_tradnl"/>
        </w:rPr>
        <w:t xml:space="preserve">inmovilizado </w:t>
      </w:r>
      <w:r w:rsidRPr="002E1E47">
        <w:rPr>
          <w:lang w:val="es-ES_tradnl"/>
        </w:rPr>
        <w:t>de la sociedad está formado por:</w:t>
      </w:r>
    </w:p>
    <w:p w14:paraId="46F7F837" w14:textId="77777777" w:rsidR="0053332A" w:rsidRPr="002E1E47" w:rsidRDefault="0053332A" w:rsidP="009E576E">
      <w:pPr>
        <w:jc w:val="both"/>
        <w:rPr>
          <w:lang w:val="es-ES_tradnl"/>
        </w:rPr>
      </w:pPr>
    </w:p>
    <w:p w14:paraId="31FA3A63" w14:textId="5C04958A" w:rsidR="000175E1" w:rsidRPr="002E1E47" w:rsidRDefault="0053332A" w:rsidP="0053332A">
      <w:pPr>
        <w:pStyle w:val="Prrafodelista"/>
        <w:numPr>
          <w:ilvl w:val="0"/>
          <w:numId w:val="40"/>
        </w:numPr>
        <w:jc w:val="both"/>
        <w:rPr>
          <w:i/>
          <w:lang w:val="es-ES_tradnl"/>
        </w:rPr>
      </w:pPr>
      <w:r w:rsidRPr="002E1E47">
        <w:rPr>
          <w:i/>
          <w:lang w:val="es-ES_tradnl"/>
        </w:rPr>
        <w:t>Inmovilizado material</w:t>
      </w:r>
      <w:r w:rsidR="000175E1" w:rsidRPr="002E1E47">
        <w:rPr>
          <w:i/>
          <w:lang w:val="es-ES_tradnl"/>
        </w:rPr>
        <w:t xml:space="preserve">: </w:t>
      </w:r>
      <w:r w:rsidR="00337766" w:rsidRPr="002E1E47">
        <w:rPr>
          <w:i/>
          <w:lang w:val="es-ES_tradnl"/>
        </w:rPr>
        <w:t>2.</w:t>
      </w:r>
      <w:r w:rsidR="002E1E47" w:rsidRPr="002E1E47">
        <w:rPr>
          <w:i/>
          <w:lang w:val="es-ES_tradnl"/>
        </w:rPr>
        <w:t>775.423,85</w:t>
      </w:r>
      <w:r w:rsidR="00852805" w:rsidRPr="002E1E47">
        <w:rPr>
          <w:i/>
          <w:lang w:val="es-ES_tradnl"/>
        </w:rPr>
        <w:t xml:space="preserve">€ </w:t>
      </w:r>
    </w:p>
    <w:p w14:paraId="679EAAB9" w14:textId="77777777" w:rsidR="0049602F" w:rsidRPr="002E1E47" w:rsidRDefault="0049602F" w:rsidP="0049602F">
      <w:pPr>
        <w:pStyle w:val="Prrafodelista"/>
        <w:ind w:left="1065"/>
        <w:jc w:val="both"/>
        <w:rPr>
          <w:i/>
          <w:lang w:val="es-ES_tradnl"/>
        </w:rPr>
      </w:pPr>
    </w:p>
    <w:p w14:paraId="4D087557" w14:textId="77777777" w:rsidR="0041395B" w:rsidRPr="002E1E47" w:rsidRDefault="00852805" w:rsidP="00852805">
      <w:pPr>
        <w:pStyle w:val="Prrafodelista"/>
        <w:numPr>
          <w:ilvl w:val="0"/>
          <w:numId w:val="40"/>
        </w:numPr>
        <w:jc w:val="both"/>
        <w:rPr>
          <w:i/>
          <w:lang w:val="es-ES_tradnl"/>
        </w:rPr>
      </w:pPr>
      <w:r w:rsidRPr="002E1E47">
        <w:rPr>
          <w:i/>
          <w:lang w:val="es-ES_tradnl"/>
        </w:rPr>
        <w:t>Inmovi</w:t>
      </w:r>
      <w:r w:rsidR="0041395B" w:rsidRPr="002E1E47">
        <w:rPr>
          <w:i/>
          <w:lang w:val="es-ES_tradnl"/>
        </w:rPr>
        <w:t>lizaciones financieras: 6.702,02</w:t>
      </w:r>
      <w:r w:rsidRPr="002E1E47">
        <w:rPr>
          <w:i/>
          <w:lang w:val="es-ES_tradnl"/>
        </w:rPr>
        <w:t>€</w:t>
      </w:r>
    </w:p>
    <w:p w14:paraId="588A674A" w14:textId="77777777" w:rsidR="00654E11" w:rsidRPr="002E1E47" w:rsidRDefault="00654E11" w:rsidP="008B65E6">
      <w:pPr>
        <w:jc w:val="both"/>
        <w:rPr>
          <w:lang w:val="es-ES_tradnl"/>
        </w:rPr>
      </w:pPr>
    </w:p>
    <w:p w14:paraId="50A9762C" w14:textId="13DD3E2F" w:rsidR="008B65E6" w:rsidRPr="002E1E47" w:rsidRDefault="008B65E6" w:rsidP="008B65E6">
      <w:pPr>
        <w:jc w:val="both"/>
        <w:rPr>
          <w:lang w:val="es-ES_tradnl"/>
        </w:rPr>
      </w:pPr>
      <w:r w:rsidRPr="002E1E47">
        <w:rPr>
          <w:lang w:val="es-ES_tradnl"/>
        </w:rPr>
        <w:t xml:space="preserve">En el activo corriente de la sociedad, figura un saldo de deudores comerciales de </w:t>
      </w:r>
      <w:r w:rsidR="002E1E47" w:rsidRPr="002E1E47">
        <w:rPr>
          <w:lang w:val="es-ES_tradnl"/>
        </w:rPr>
        <w:t>47.321,62</w:t>
      </w:r>
      <w:r w:rsidR="003E408F" w:rsidRPr="002E1E47">
        <w:rPr>
          <w:lang w:val="es-ES_tradnl"/>
        </w:rPr>
        <w:t xml:space="preserve"> </w:t>
      </w:r>
      <w:r w:rsidR="003D32F6" w:rsidRPr="002E1E47">
        <w:rPr>
          <w:lang w:val="es-ES_tradnl"/>
        </w:rPr>
        <w:t xml:space="preserve">euros. </w:t>
      </w:r>
      <w:r w:rsidRPr="002E1E47">
        <w:rPr>
          <w:lang w:val="es-ES_tradnl"/>
        </w:rPr>
        <w:t xml:space="preserve">Las inversiones financieras a corto plazo ascienden a </w:t>
      </w:r>
      <w:r w:rsidR="002E1E47" w:rsidRPr="002E1E47">
        <w:rPr>
          <w:lang w:val="es-ES_tradnl"/>
        </w:rPr>
        <w:t>8.759,97</w:t>
      </w:r>
      <w:r w:rsidRPr="002E1E47">
        <w:rPr>
          <w:lang w:val="es-ES_tradnl"/>
        </w:rPr>
        <w:t xml:space="preserve">€, la tesorería a </w:t>
      </w:r>
      <w:r w:rsidR="002E1E47" w:rsidRPr="002E1E47">
        <w:rPr>
          <w:lang w:val="es-ES_tradnl"/>
        </w:rPr>
        <w:t>40.131,81</w:t>
      </w:r>
      <w:r w:rsidR="003D32F6" w:rsidRPr="002E1E47">
        <w:rPr>
          <w:lang w:val="es-ES_tradnl"/>
        </w:rPr>
        <w:t>€.</w:t>
      </w:r>
    </w:p>
    <w:p w14:paraId="10274C3B" w14:textId="77777777" w:rsidR="00CF418E" w:rsidRPr="002E1E47" w:rsidRDefault="00CF418E" w:rsidP="00CF7EBD">
      <w:pPr>
        <w:jc w:val="both"/>
        <w:rPr>
          <w:lang w:val="es-ES_tradnl"/>
        </w:rPr>
      </w:pPr>
    </w:p>
    <w:p w14:paraId="4EA42988" w14:textId="77777777" w:rsidR="00CF418E" w:rsidRPr="005B522C" w:rsidRDefault="00CF418E" w:rsidP="00CF418E">
      <w:pPr>
        <w:autoSpaceDE w:val="0"/>
        <w:autoSpaceDN w:val="0"/>
        <w:adjustRightInd w:val="0"/>
        <w:jc w:val="both"/>
        <w:rPr>
          <w:szCs w:val="24"/>
          <w:lang w:eastAsia="es-ES"/>
        </w:rPr>
      </w:pPr>
      <w:r w:rsidRPr="002E1E47">
        <w:rPr>
          <w:iCs/>
          <w:szCs w:val="24"/>
          <w:lang w:eastAsia="es-ES"/>
        </w:rPr>
        <w:t>En el inmovilizado material existen elementos sujetos al requisito de permanencia de la Reserva de inversiones en Canarias por importe de 29.974,12 euros, cuyo detalle correspondiente se muestra en la nota 12.</w:t>
      </w:r>
    </w:p>
    <w:p w14:paraId="0ADA25CB" w14:textId="77777777" w:rsidR="00CF418E" w:rsidRPr="00CF418E" w:rsidRDefault="00CF418E" w:rsidP="00CF7EBD">
      <w:pPr>
        <w:jc w:val="both"/>
        <w:rPr>
          <w:color w:val="FF0000"/>
          <w:lang w:val="es-ES_tradnl"/>
        </w:rPr>
      </w:pPr>
    </w:p>
    <w:p w14:paraId="6DE898FC" w14:textId="77777777" w:rsidR="00B80DC3" w:rsidRDefault="00B80DC3" w:rsidP="00CF7EBD">
      <w:pPr>
        <w:jc w:val="both"/>
        <w:rPr>
          <w:b/>
          <w:u w:val="single"/>
          <w:lang w:val="es-ES_tradnl"/>
        </w:rPr>
      </w:pPr>
    </w:p>
    <w:p w14:paraId="0F41FD40" w14:textId="77777777" w:rsidR="00CF7EBD" w:rsidRPr="00897D45" w:rsidRDefault="00CF7EBD" w:rsidP="00CF7EBD">
      <w:pPr>
        <w:jc w:val="both"/>
        <w:rPr>
          <w:b/>
          <w:u w:val="single"/>
          <w:lang w:val="es-ES_tradnl"/>
        </w:rPr>
      </w:pPr>
      <w:r w:rsidRPr="00897D45">
        <w:rPr>
          <w:b/>
          <w:u w:val="single"/>
          <w:lang w:val="es-ES_tradnl"/>
        </w:rPr>
        <w:t xml:space="preserve">6.- Capital Social </w:t>
      </w:r>
    </w:p>
    <w:p w14:paraId="719D43E8" w14:textId="77777777" w:rsidR="00CF7EBD" w:rsidRPr="00897D45" w:rsidRDefault="00CF7EBD" w:rsidP="00CF7EBD">
      <w:pPr>
        <w:jc w:val="both"/>
        <w:rPr>
          <w:b/>
          <w:u w:val="single"/>
          <w:lang w:val="es-ES_tradnl"/>
        </w:rPr>
      </w:pPr>
    </w:p>
    <w:p w14:paraId="39431C4F" w14:textId="330E7426" w:rsidR="00852805" w:rsidRPr="005128D9" w:rsidRDefault="00E303F2" w:rsidP="00852805">
      <w:pPr>
        <w:jc w:val="both"/>
        <w:rPr>
          <w:szCs w:val="24"/>
        </w:rPr>
      </w:pPr>
      <w:r>
        <w:rPr>
          <w:szCs w:val="24"/>
        </w:rPr>
        <w:t>Al cierre del ejercicio 20</w:t>
      </w:r>
      <w:r w:rsidR="00297869">
        <w:rPr>
          <w:szCs w:val="24"/>
        </w:rPr>
        <w:t>20</w:t>
      </w:r>
      <w:r w:rsidR="00852805" w:rsidRPr="005128D9">
        <w:rPr>
          <w:szCs w:val="24"/>
        </w:rPr>
        <w:t xml:space="preserve"> el capital social de la Sociedad asciende a </w:t>
      </w:r>
      <w:r w:rsidR="00D77E3C" w:rsidRPr="005128D9">
        <w:rPr>
          <w:szCs w:val="24"/>
        </w:rPr>
        <w:t>874</w:t>
      </w:r>
      <w:r>
        <w:rPr>
          <w:szCs w:val="24"/>
        </w:rPr>
        <w:t>.</w:t>
      </w:r>
      <w:r w:rsidR="00D77E3C" w:rsidRPr="005128D9">
        <w:rPr>
          <w:szCs w:val="24"/>
        </w:rPr>
        <w:t>094,40</w:t>
      </w:r>
      <w:r w:rsidR="00852805" w:rsidRPr="005128D9">
        <w:rPr>
          <w:szCs w:val="24"/>
        </w:rPr>
        <w:t xml:space="preserve">euros, representado por </w:t>
      </w:r>
      <w:r w:rsidR="005128D9" w:rsidRPr="005128D9">
        <w:rPr>
          <w:szCs w:val="24"/>
        </w:rPr>
        <w:t>14.544</w:t>
      </w:r>
      <w:r w:rsidR="00852805" w:rsidRPr="005128D9">
        <w:rPr>
          <w:szCs w:val="24"/>
        </w:rPr>
        <w:t xml:space="preserve"> acciones de 60.10 euros de valor nominal cada una, todas ellas de la misma clase, totalm</w:t>
      </w:r>
      <w:r w:rsidR="005128D9" w:rsidRPr="005128D9">
        <w:rPr>
          <w:szCs w:val="24"/>
        </w:rPr>
        <w:t>ente suscritas y desembolsadas, n</w:t>
      </w:r>
      <w:r>
        <w:rPr>
          <w:szCs w:val="24"/>
        </w:rPr>
        <w:t>umeradas correlativamente del nú</w:t>
      </w:r>
      <w:r w:rsidR="005128D9" w:rsidRPr="005128D9">
        <w:rPr>
          <w:szCs w:val="24"/>
        </w:rPr>
        <w:t>mero uno al catorce mil quinientos cuarenta y cuatro.</w:t>
      </w:r>
    </w:p>
    <w:p w14:paraId="5EA1D472" w14:textId="77777777" w:rsidR="000A121F" w:rsidRDefault="000A121F" w:rsidP="00852805">
      <w:pPr>
        <w:jc w:val="both"/>
        <w:rPr>
          <w:color w:val="FF0000"/>
          <w:szCs w:val="24"/>
        </w:rPr>
      </w:pPr>
    </w:p>
    <w:p w14:paraId="7D2E8465" w14:textId="77777777" w:rsidR="007F78D5" w:rsidRPr="00897D45" w:rsidRDefault="007F78D5" w:rsidP="007F78D5">
      <w:pPr>
        <w:jc w:val="both"/>
        <w:rPr>
          <w:b/>
          <w:szCs w:val="24"/>
          <w:u w:val="single"/>
        </w:rPr>
      </w:pPr>
      <w:r w:rsidRPr="00897D45">
        <w:rPr>
          <w:b/>
          <w:szCs w:val="24"/>
          <w:u w:val="single"/>
        </w:rPr>
        <w:t>7.- Reserva legal</w:t>
      </w:r>
    </w:p>
    <w:p w14:paraId="7C9A10F9" w14:textId="77777777" w:rsidR="007F78D5" w:rsidRPr="00897D45" w:rsidRDefault="007F78D5" w:rsidP="007F78D5">
      <w:pPr>
        <w:jc w:val="both"/>
        <w:rPr>
          <w:szCs w:val="24"/>
        </w:rPr>
      </w:pPr>
    </w:p>
    <w:p w14:paraId="3D8A0B15" w14:textId="77777777" w:rsidR="007F78D5" w:rsidRPr="00897D45" w:rsidRDefault="007F78D5" w:rsidP="007F78D5">
      <w:pPr>
        <w:jc w:val="both"/>
        <w:rPr>
          <w:szCs w:val="24"/>
        </w:rPr>
      </w:pPr>
      <w:r w:rsidRPr="00897D45">
        <w:rPr>
          <w:szCs w:val="24"/>
        </w:rPr>
        <w:t>De acuerdo con el Texto Refundido de la Ley de Sociedades Limitadas, debe destinarse una cifra igual al 10% del beneficio del ejercicio a la reserva legal hasta que ésta alcance, al menos, el 20% del capital social.</w:t>
      </w:r>
    </w:p>
    <w:p w14:paraId="675D0AC7" w14:textId="77777777" w:rsidR="00A36F5C" w:rsidRDefault="00A36F5C" w:rsidP="007F78D5">
      <w:pPr>
        <w:jc w:val="both"/>
        <w:rPr>
          <w:szCs w:val="24"/>
        </w:rPr>
      </w:pPr>
    </w:p>
    <w:p w14:paraId="3D47B5ED" w14:textId="77777777" w:rsidR="007F78D5" w:rsidRDefault="007F78D5" w:rsidP="007F78D5">
      <w:pPr>
        <w:jc w:val="both"/>
        <w:rPr>
          <w:szCs w:val="24"/>
        </w:rPr>
      </w:pPr>
      <w:r w:rsidRPr="00897D45">
        <w:rPr>
          <w:szCs w:val="24"/>
        </w:rPr>
        <w:t>La reserva legal podrá utilizarse para aumentar el capital en la parte de su saldo que exceda del 10% del capital ya aumentado. Salvo para la finalidad mencionada anteriormente, y mientras no supere el 20% del capital social, esta reserva sólo podrá destinarse a la compensación de pérdidas y siempre que no existan otras reservas disponibles suficientes para este fin.</w:t>
      </w:r>
    </w:p>
    <w:p w14:paraId="031B168C" w14:textId="77777777" w:rsidR="00DF1906" w:rsidRDefault="00DF1906" w:rsidP="007F78D5">
      <w:pPr>
        <w:jc w:val="both"/>
        <w:rPr>
          <w:szCs w:val="24"/>
        </w:rPr>
      </w:pPr>
    </w:p>
    <w:p w14:paraId="24E6AA83" w14:textId="77777777" w:rsidR="003968C6" w:rsidRDefault="003968C6" w:rsidP="007F78D5">
      <w:pPr>
        <w:jc w:val="both"/>
        <w:rPr>
          <w:szCs w:val="24"/>
        </w:rPr>
      </w:pPr>
    </w:p>
    <w:p w14:paraId="413CBD58" w14:textId="6C416C5A" w:rsidR="00DF1906" w:rsidRPr="00C311C5" w:rsidRDefault="00DF1906" w:rsidP="007F78D5">
      <w:pPr>
        <w:jc w:val="both"/>
        <w:rPr>
          <w:szCs w:val="24"/>
        </w:rPr>
      </w:pPr>
      <w:r w:rsidRPr="00C311C5">
        <w:rPr>
          <w:szCs w:val="24"/>
        </w:rPr>
        <w:t>Al cierre del ejercicio,</w:t>
      </w:r>
      <w:r w:rsidR="00B03E48" w:rsidRPr="00C311C5">
        <w:rPr>
          <w:szCs w:val="24"/>
        </w:rPr>
        <w:t xml:space="preserve"> el saldo asciende </w:t>
      </w:r>
      <w:r w:rsidRPr="00C311C5">
        <w:rPr>
          <w:szCs w:val="24"/>
        </w:rPr>
        <w:t xml:space="preserve">a </w:t>
      </w:r>
      <w:r w:rsidR="003E408F" w:rsidRPr="00C311C5">
        <w:rPr>
          <w:szCs w:val="24"/>
        </w:rPr>
        <w:t>174.818,88</w:t>
      </w:r>
      <w:r w:rsidRPr="00C311C5">
        <w:rPr>
          <w:szCs w:val="24"/>
        </w:rPr>
        <w:t>€</w:t>
      </w:r>
      <w:r w:rsidR="003E408F" w:rsidRPr="00C311C5">
        <w:rPr>
          <w:szCs w:val="24"/>
        </w:rPr>
        <w:t xml:space="preserve"> por lo que esta reserva se encuentra completamente constituida.</w:t>
      </w:r>
    </w:p>
    <w:p w14:paraId="5238B38F" w14:textId="77777777" w:rsidR="00DF1906" w:rsidRPr="00BC7C4B" w:rsidRDefault="00DF1906" w:rsidP="007F78D5">
      <w:pPr>
        <w:jc w:val="both"/>
        <w:rPr>
          <w:color w:val="FF0000"/>
          <w:szCs w:val="24"/>
        </w:rPr>
      </w:pPr>
    </w:p>
    <w:p w14:paraId="3103901B" w14:textId="7E0D14D3" w:rsidR="00DF1906" w:rsidRPr="005B522C" w:rsidRDefault="00DF1906" w:rsidP="007F78D5">
      <w:pPr>
        <w:jc w:val="both"/>
        <w:rPr>
          <w:szCs w:val="24"/>
        </w:rPr>
      </w:pPr>
      <w:r w:rsidRPr="005B522C">
        <w:rPr>
          <w:szCs w:val="24"/>
        </w:rPr>
        <w:t>Por otra parte, la sociedad tiene unas res</w:t>
      </w:r>
      <w:r w:rsidR="003E408F" w:rsidRPr="005B522C">
        <w:rPr>
          <w:szCs w:val="24"/>
        </w:rPr>
        <w:t xml:space="preserve">ervas voluntarias de </w:t>
      </w:r>
      <w:r w:rsidR="005B522C" w:rsidRPr="005B522C">
        <w:rPr>
          <w:szCs w:val="24"/>
        </w:rPr>
        <w:t>1.0</w:t>
      </w:r>
      <w:r w:rsidR="002E1E47">
        <w:rPr>
          <w:szCs w:val="24"/>
        </w:rPr>
        <w:t>74.828,80</w:t>
      </w:r>
      <w:r w:rsidR="003E408F" w:rsidRPr="005B522C">
        <w:rPr>
          <w:szCs w:val="24"/>
        </w:rPr>
        <w:t>€</w:t>
      </w:r>
      <w:r w:rsidR="00420DF3" w:rsidRPr="005B522C">
        <w:rPr>
          <w:szCs w:val="24"/>
        </w:rPr>
        <w:t>.</w:t>
      </w:r>
    </w:p>
    <w:p w14:paraId="305AA63F" w14:textId="77777777" w:rsidR="004A5AA8" w:rsidRPr="004A5AA8" w:rsidRDefault="004A5AA8" w:rsidP="0059681F">
      <w:pPr>
        <w:pStyle w:val="Default"/>
        <w:jc w:val="both"/>
        <w:rPr>
          <w:rFonts w:ascii="Times New Roman" w:hAnsi="Times New Roman" w:cs="Times New Roman"/>
          <w:color w:val="FF0000"/>
          <w:lang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90"/>
      </w:tblGrid>
      <w:tr w:rsidR="00085BAF" w:rsidRPr="00085BAF" w14:paraId="2016B933" w14:textId="77777777">
        <w:trPr>
          <w:trHeight w:val="1448"/>
        </w:trPr>
        <w:tc>
          <w:tcPr>
            <w:tcW w:w="8490" w:type="dxa"/>
          </w:tcPr>
          <w:p w14:paraId="055A2B35" w14:textId="77777777" w:rsidR="00A77C4F" w:rsidRDefault="00A77C4F" w:rsidP="00085BAF">
            <w:pPr>
              <w:autoSpaceDE w:val="0"/>
              <w:autoSpaceDN w:val="0"/>
              <w:adjustRightInd w:val="0"/>
              <w:jc w:val="both"/>
              <w:rPr>
                <w:color w:val="000000"/>
                <w:szCs w:val="24"/>
                <w:lang w:eastAsia="es-ES"/>
              </w:rPr>
            </w:pPr>
          </w:p>
          <w:p w14:paraId="76BA5268" w14:textId="38969EE3" w:rsidR="00085BAF" w:rsidRDefault="00085BAF" w:rsidP="00085BAF">
            <w:pPr>
              <w:autoSpaceDE w:val="0"/>
              <w:autoSpaceDN w:val="0"/>
              <w:adjustRightInd w:val="0"/>
              <w:jc w:val="both"/>
              <w:rPr>
                <w:color w:val="000000"/>
                <w:szCs w:val="24"/>
                <w:lang w:eastAsia="es-ES"/>
              </w:rPr>
            </w:pPr>
            <w:r w:rsidRPr="00085BAF">
              <w:rPr>
                <w:color w:val="000000"/>
                <w:szCs w:val="24"/>
                <w:lang w:eastAsia="es-ES"/>
              </w:rPr>
              <w:t xml:space="preserve">Los compromisos adquiridos por la Sociedad en relación con los incentivos fiscales aplicados en éste o en anteriores ejercicios se corresponden con la dotación y mantenimiento de las siguientes reservas indisponibles: </w:t>
            </w:r>
          </w:p>
          <w:p w14:paraId="2610861B" w14:textId="77777777" w:rsidR="00085BAF" w:rsidRPr="00085BAF" w:rsidRDefault="00085BAF" w:rsidP="00085BAF">
            <w:pPr>
              <w:autoSpaceDE w:val="0"/>
              <w:autoSpaceDN w:val="0"/>
              <w:adjustRightInd w:val="0"/>
              <w:jc w:val="both"/>
              <w:rPr>
                <w:color w:val="000000"/>
                <w:szCs w:val="24"/>
                <w:lang w:eastAsia="es-ES"/>
              </w:rPr>
            </w:pPr>
          </w:p>
          <w:p w14:paraId="77989B7A" w14:textId="77777777" w:rsidR="00085BAF" w:rsidRPr="00654E11" w:rsidRDefault="00085BAF" w:rsidP="00085BAF">
            <w:pPr>
              <w:jc w:val="both"/>
              <w:rPr>
                <w:szCs w:val="24"/>
              </w:rPr>
            </w:pPr>
            <w:r w:rsidRPr="00085BAF">
              <w:rPr>
                <w:color w:val="000000"/>
                <w:szCs w:val="24"/>
                <w:lang w:eastAsia="es-ES"/>
              </w:rPr>
              <w:t> La reserva indisponible</w:t>
            </w:r>
            <w:r>
              <w:rPr>
                <w:color w:val="000000"/>
                <w:szCs w:val="24"/>
                <w:lang w:eastAsia="es-ES"/>
              </w:rPr>
              <w:t xml:space="preserve"> por la Reserva para inversiones en Canarias</w:t>
            </w:r>
            <w:r w:rsidRPr="00085BAF">
              <w:rPr>
                <w:color w:val="000000"/>
                <w:szCs w:val="24"/>
                <w:lang w:eastAsia="es-ES"/>
              </w:rPr>
              <w:t>.</w:t>
            </w:r>
            <w:r>
              <w:rPr>
                <w:color w:val="000000"/>
                <w:szCs w:val="24"/>
                <w:lang w:eastAsia="es-ES"/>
              </w:rPr>
              <w:t xml:space="preserve"> 151.276,23€ </w:t>
            </w:r>
            <w:r w:rsidRPr="00654E11">
              <w:rPr>
                <w:iCs/>
                <w:szCs w:val="24"/>
              </w:rPr>
              <w:t xml:space="preserve">cuyo detalle, ejercicio de constitución y plazos de indisponibilidad se detallan en la Nota 12 de la presente Memoria. </w:t>
            </w:r>
          </w:p>
          <w:p w14:paraId="64F84EAC" w14:textId="62F58C27" w:rsidR="00085BAF" w:rsidRPr="00085BAF" w:rsidRDefault="00085BAF" w:rsidP="00085BAF">
            <w:pPr>
              <w:autoSpaceDE w:val="0"/>
              <w:autoSpaceDN w:val="0"/>
              <w:adjustRightInd w:val="0"/>
              <w:jc w:val="both"/>
              <w:rPr>
                <w:color w:val="000000"/>
                <w:szCs w:val="24"/>
                <w:lang w:eastAsia="es-ES"/>
              </w:rPr>
            </w:pPr>
            <w:r w:rsidRPr="00085BAF">
              <w:rPr>
                <w:color w:val="000000"/>
                <w:szCs w:val="24"/>
                <w:lang w:eastAsia="es-ES"/>
              </w:rPr>
              <w:t xml:space="preserve"> </w:t>
            </w:r>
          </w:p>
          <w:p w14:paraId="24EF1618" w14:textId="0B209497" w:rsidR="00085BAF" w:rsidRDefault="00085BAF" w:rsidP="00085BAF">
            <w:pPr>
              <w:autoSpaceDE w:val="0"/>
              <w:autoSpaceDN w:val="0"/>
              <w:adjustRightInd w:val="0"/>
              <w:jc w:val="both"/>
              <w:rPr>
                <w:color w:val="000000"/>
                <w:szCs w:val="24"/>
                <w:lang w:eastAsia="es-ES"/>
              </w:rPr>
            </w:pPr>
            <w:r w:rsidRPr="00085BAF">
              <w:rPr>
                <w:color w:val="000000"/>
                <w:szCs w:val="24"/>
                <w:lang w:eastAsia="es-ES"/>
              </w:rPr>
              <w:t xml:space="preserve"> La reserva indisponible a que se refiere el artículo 25 de la Ley 27/2014, por la reducción de la base imponible por constitución de la reserva de capitalización. </w:t>
            </w:r>
            <w:r>
              <w:rPr>
                <w:color w:val="000000"/>
                <w:szCs w:val="24"/>
                <w:lang w:eastAsia="es-ES"/>
              </w:rPr>
              <w:t>6.381,20€</w:t>
            </w:r>
          </w:p>
          <w:p w14:paraId="50557991" w14:textId="77777777" w:rsidR="00085BAF" w:rsidRPr="00085BAF" w:rsidRDefault="00085BAF" w:rsidP="00085BAF">
            <w:pPr>
              <w:autoSpaceDE w:val="0"/>
              <w:autoSpaceDN w:val="0"/>
              <w:adjustRightInd w:val="0"/>
              <w:jc w:val="both"/>
              <w:rPr>
                <w:color w:val="000000"/>
                <w:szCs w:val="24"/>
                <w:lang w:eastAsia="es-ES"/>
              </w:rPr>
            </w:pPr>
          </w:p>
          <w:p w14:paraId="4CDB9CAF" w14:textId="4E0E2D60" w:rsidR="006906A8" w:rsidRPr="00085BAF" w:rsidRDefault="006906A8" w:rsidP="00612D7A">
            <w:pPr>
              <w:autoSpaceDE w:val="0"/>
              <w:autoSpaceDN w:val="0"/>
              <w:adjustRightInd w:val="0"/>
              <w:jc w:val="both"/>
              <w:rPr>
                <w:rFonts w:ascii="Calibri" w:hAnsi="Calibri" w:cs="Calibri"/>
                <w:color w:val="000000"/>
                <w:sz w:val="22"/>
                <w:lang w:eastAsia="es-ES"/>
              </w:rPr>
            </w:pPr>
          </w:p>
        </w:tc>
      </w:tr>
    </w:tbl>
    <w:p w14:paraId="1E0BF653" w14:textId="77777777" w:rsidR="007F78D5" w:rsidRPr="002C1B95" w:rsidRDefault="00BF117A" w:rsidP="00CF7EBD">
      <w:pPr>
        <w:jc w:val="both"/>
        <w:rPr>
          <w:b/>
          <w:u w:val="single"/>
          <w:lang w:val="es-ES_tradnl"/>
        </w:rPr>
      </w:pPr>
      <w:r>
        <w:rPr>
          <w:b/>
          <w:u w:val="single"/>
          <w:lang w:val="es-ES_tradnl"/>
        </w:rPr>
        <w:t>8</w:t>
      </w:r>
      <w:r w:rsidR="004D566A" w:rsidRPr="002C1B95">
        <w:rPr>
          <w:b/>
          <w:u w:val="single"/>
          <w:lang w:val="es-ES_tradnl"/>
        </w:rPr>
        <w:t>- Gastos</w:t>
      </w:r>
    </w:p>
    <w:p w14:paraId="4BF59C9A" w14:textId="77777777" w:rsidR="004D566A" w:rsidRPr="002C1B95" w:rsidRDefault="004D566A" w:rsidP="00CF7EBD">
      <w:pPr>
        <w:jc w:val="both"/>
        <w:rPr>
          <w:b/>
          <w:u w:val="single"/>
          <w:lang w:val="es-ES_tradnl"/>
        </w:rPr>
      </w:pPr>
    </w:p>
    <w:p w14:paraId="2885A09B" w14:textId="4084E489" w:rsidR="004D566A" w:rsidRPr="002C1B95" w:rsidRDefault="002373EA" w:rsidP="004D566A">
      <w:pPr>
        <w:tabs>
          <w:tab w:val="left" w:pos="567"/>
        </w:tabs>
        <w:jc w:val="both"/>
        <w:rPr>
          <w:szCs w:val="24"/>
        </w:rPr>
      </w:pPr>
      <w:r w:rsidRPr="002C1B95">
        <w:rPr>
          <w:b/>
          <w:i/>
          <w:szCs w:val="24"/>
        </w:rPr>
        <w:t>-</w:t>
      </w:r>
      <w:r w:rsidR="004D566A" w:rsidRPr="002C1B95">
        <w:rPr>
          <w:b/>
          <w:i/>
          <w:szCs w:val="24"/>
        </w:rPr>
        <w:t>Gastos de personal</w:t>
      </w:r>
      <w:r w:rsidR="00773284">
        <w:rPr>
          <w:b/>
          <w:i/>
          <w:szCs w:val="24"/>
        </w:rPr>
        <w:t xml:space="preserve"> </w:t>
      </w:r>
    </w:p>
    <w:p w14:paraId="296F19ED" w14:textId="77777777" w:rsidR="004D566A" w:rsidRPr="002C1B95" w:rsidRDefault="004D566A" w:rsidP="004D566A">
      <w:pPr>
        <w:jc w:val="both"/>
        <w:rPr>
          <w:szCs w:val="24"/>
        </w:rPr>
      </w:pPr>
    </w:p>
    <w:p w14:paraId="47134960" w14:textId="2BF97A6F" w:rsidR="005161B7" w:rsidRPr="002C1B95" w:rsidRDefault="004D566A" w:rsidP="00394FFA">
      <w:pPr>
        <w:jc w:val="both"/>
        <w:rPr>
          <w:szCs w:val="24"/>
        </w:rPr>
      </w:pPr>
      <w:r w:rsidRPr="002C1B95">
        <w:rPr>
          <w:szCs w:val="24"/>
        </w:rPr>
        <w:t>El saldo de la cuenta “Gastos</w:t>
      </w:r>
      <w:r w:rsidR="00E303F2">
        <w:rPr>
          <w:szCs w:val="24"/>
        </w:rPr>
        <w:t xml:space="preserve"> de personal” del ejercicio 20</w:t>
      </w:r>
      <w:r w:rsidR="00297869">
        <w:rPr>
          <w:szCs w:val="24"/>
        </w:rPr>
        <w:t>20</w:t>
      </w:r>
      <w:r w:rsidRPr="002C1B95">
        <w:rPr>
          <w:szCs w:val="24"/>
        </w:rPr>
        <w:t xml:space="preserve"> presenta la siguiente composición:</w:t>
      </w:r>
    </w:p>
    <w:tbl>
      <w:tblPr>
        <w:tblW w:w="0" w:type="auto"/>
        <w:jc w:val="center"/>
        <w:tblLayout w:type="fixed"/>
        <w:tblCellMar>
          <w:left w:w="42" w:type="dxa"/>
          <w:right w:w="42" w:type="dxa"/>
        </w:tblCellMar>
        <w:tblLook w:val="0000" w:firstRow="0" w:lastRow="0" w:firstColumn="0" w:lastColumn="0" w:noHBand="0" w:noVBand="0"/>
      </w:tblPr>
      <w:tblGrid>
        <w:gridCol w:w="2980"/>
        <w:gridCol w:w="1260"/>
        <w:gridCol w:w="1260"/>
      </w:tblGrid>
      <w:tr w:rsidR="00297869" w:rsidRPr="002C1B95" w14:paraId="1AB8C384" w14:textId="68F8498D" w:rsidTr="00380243">
        <w:trPr>
          <w:cantSplit/>
          <w:trHeight w:val="170"/>
          <w:jc w:val="center"/>
        </w:trPr>
        <w:tc>
          <w:tcPr>
            <w:tcW w:w="2980" w:type="dxa"/>
            <w:tcBorders>
              <w:top w:val="single" w:sz="4" w:space="0" w:color="auto"/>
              <w:left w:val="single" w:sz="4" w:space="0" w:color="auto"/>
              <w:bottom w:val="single" w:sz="4" w:space="0" w:color="auto"/>
              <w:right w:val="single" w:sz="4" w:space="0" w:color="auto"/>
            </w:tcBorders>
          </w:tcPr>
          <w:p w14:paraId="49F2B893" w14:textId="77777777" w:rsidR="00297869" w:rsidRPr="002C1B95" w:rsidRDefault="00297869" w:rsidP="004B01CD">
            <w:pPr>
              <w:pStyle w:val="Tabladeilustraciones"/>
              <w:keepNext/>
              <w:jc w:val="center"/>
              <w:rPr>
                <w:b/>
              </w:rPr>
            </w:pPr>
          </w:p>
        </w:tc>
        <w:tc>
          <w:tcPr>
            <w:tcW w:w="1260" w:type="dxa"/>
            <w:tcBorders>
              <w:top w:val="single" w:sz="4" w:space="0" w:color="auto"/>
              <w:left w:val="single" w:sz="4" w:space="0" w:color="auto"/>
              <w:bottom w:val="single" w:sz="4" w:space="0" w:color="auto"/>
              <w:right w:val="single" w:sz="4" w:space="0" w:color="auto"/>
            </w:tcBorders>
          </w:tcPr>
          <w:p w14:paraId="6661743B" w14:textId="2EF74CCA" w:rsidR="00297869" w:rsidRDefault="00297869" w:rsidP="002C1B95">
            <w:pPr>
              <w:pStyle w:val="Tabladeilustraciones"/>
              <w:keepNext/>
              <w:jc w:val="center"/>
            </w:pPr>
            <w:r>
              <w:t>2019</w:t>
            </w:r>
          </w:p>
        </w:tc>
        <w:tc>
          <w:tcPr>
            <w:tcW w:w="1260" w:type="dxa"/>
            <w:tcBorders>
              <w:top w:val="single" w:sz="4" w:space="0" w:color="auto"/>
              <w:left w:val="single" w:sz="4" w:space="0" w:color="auto"/>
              <w:bottom w:val="single" w:sz="4" w:space="0" w:color="auto"/>
              <w:right w:val="single" w:sz="4" w:space="0" w:color="auto"/>
            </w:tcBorders>
          </w:tcPr>
          <w:p w14:paraId="182A99FE" w14:textId="63BDC3ED" w:rsidR="00297869" w:rsidRDefault="00297869" w:rsidP="002C1B95">
            <w:pPr>
              <w:pStyle w:val="Tabladeilustraciones"/>
              <w:keepNext/>
              <w:jc w:val="center"/>
            </w:pPr>
            <w:r>
              <w:t>2020</w:t>
            </w:r>
          </w:p>
        </w:tc>
      </w:tr>
      <w:tr w:rsidR="00297869" w:rsidRPr="002C1B95" w14:paraId="5AB7EBDA" w14:textId="356261BE" w:rsidTr="00380243">
        <w:trPr>
          <w:cantSplit/>
          <w:jc w:val="center"/>
        </w:trPr>
        <w:tc>
          <w:tcPr>
            <w:tcW w:w="2980" w:type="dxa"/>
            <w:tcBorders>
              <w:top w:val="single" w:sz="4" w:space="0" w:color="auto"/>
              <w:left w:val="single" w:sz="4" w:space="0" w:color="auto"/>
              <w:bottom w:val="single" w:sz="4" w:space="0" w:color="auto"/>
              <w:right w:val="single" w:sz="4" w:space="0" w:color="auto"/>
            </w:tcBorders>
          </w:tcPr>
          <w:p w14:paraId="3D3152F4" w14:textId="77777777" w:rsidR="00297869" w:rsidRDefault="00297869" w:rsidP="00DF1906"/>
          <w:p w14:paraId="284836BB" w14:textId="77777777" w:rsidR="00297869" w:rsidRPr="002C1B95" w:rsidRDefault="00297869" w:rsidP="00DF1906">
            <w:pPr>
              <w:rPr>
                <w:b/>
                <w:sz w:val="20"/>
                <w:szCs w:val="20"/>
              </w:rPr>
            </w:pPr>
            <w:r w:rsidRPr="002C1B95">
              <w:rPr>
                <w:b/>
                <w:sz w:val="20"/>
                <w:szCs w:val="20"/>
              </w:rPr>
              <w:t>Cargas sociales:</w:t>
            </w:r>
          </w:p>
          <w:p w14:paraId="75686079" w14:textId="77777777" w:rsidR="00297869" w:rsidRPr="002C1B95" w:rsidRDefault="00297869" w:rsidP="00DF1906">
            <w:pPr>
              <w:rPr>
                <w:sz w:val="20"/>
                <w:szCs w:val="20"/>
              </w:rPr>
            </w:pPr>
            <w:r w:rsidRPr="002C1B95">
              <w:rPr>
                <w:sz w:val="20"/>
                <w:szCs w:val="20"/>
              </w:rPr>
              <w:t>Aportaciones planes de pensiones</w:t>
            </w:r>
          </w:p>
          <w:p w14:paraId="4049F92B" w14:textId="77777777" w:rsidR="00297869" w:rsidRPr="002C1B95" w:rsidRDefault="00297869" w:rsidP="00DF1906">
            <w:pPr>
              <w:rPr>
                <w:sz w:val="20"/>
                <w:szCs w:val="20"/>
              </w:rPr>
            </w:pPr>
            <w:r w:rsidRPr="002C1B95">
              <w:rPr>
                <w:sz w:val="20"/>
                <w:szCs w:val="20"/>
              </w:rPr>
              <w:t>Otras cargas sociales</w:t>
            </w:r>
          </w:p>
          <w:p w14:paraId="70E8C028" w14:textId="77777777" w:rsidR="00297869" w:rsidRPr="002C1B95" w:rsidRDefault="00297869" w:rsidP="00DF1906">
            <w:pPr>
              <w:rPr>
                <w:sz w:val="20"/>
                <w:szCs w:val="20"/>
              </w:rPr>
            </w:pPr>
            <w:r w:rsidRPr="002C1B95">
              <w:rPr>
                <w:sz w:val="20"/>
                <w:szCs w:val="20"/>
              </w:rPr>
              <w:t>SS  a cargo de la empresa</w:t>
            </w:r>
          </w:p>
          <w:p w14:paraId="2C20C10F" w14:textId="77777777" w:rsidR="00297869" w:rsidRPr="002C1B95" w:rsidRDefault="00297869" w:rsidP="00DF1906">
            <w:pPr>
              <w:rPr>
                <w:sz w:val="20"/>
                <w:szCs w:val="20"/>
              </w:rPr>
            </w:pPr>
            <w:r w:rsidRPr="002C1B95">
              <w:rPr>
                <w:sz w:val="20"/>
                <w:szCs w:val="20"/>
              </w:rPr>
              <w:t>Indemnizaciones</w:t>
            </w:r>
          </w:p>
          <w:p w14:paraId="7F9B201B" w14:textId="77777777" w:rsidR="00297869" w:rsidRPr="002C1B95" w:rsidRDefault="00297869" w:rsidP="00DF1906">
            <w:pPr>
              <w:rPr>
                <w:sz w:val="20"/>
                <w:szCs w:val="20"/>
              </w:rPr>
            </w:pPr>
            <w:r w:rsidRPr="002C1B95">
              <w:rPr>
                <w:sz w:val="20"/>
                <w:szCs w:val="20"/>
              </w:rPr>
              <w:t>Sueldos, salarios y asimilados</w:t>
            </w:r>
          </w:p>
        </w:tc>
        <w:tc>
          <w:tcPr>
            <w:tcW w:w="1260" w:type="dxa"/>
            <w:tcBorders>
              <w:top w:val="single" w:sz="4" w:space="0" w:color="auto"/>
              <w:left w:val="single" w:sz="4" w:space="0" w:color="auto"/>
              <w:bottom w:val="single" w:sz="4" w:space="0" w:color="auto"/>
              <w:right w:val="single" w:sz="4" w:space="0" w:color="auto"/>
            </w:tcBorders>
          </w:tcPr>
          <w:p w14:paraId="169FEE33" w14:textId="77777777" w:rsidR="00297869" w:rsidRDefault="00297869" w:rsidP="00235878">
            <w:pPr>
              <w:jc w:val="center"/>
              <w:rPr>
                <w:sz w:val="20"/>
                <w:szCs w:val="20"/>
              </w:rPr>
            </w:pPr>
          </w:p>
          <w:p w14:paraId="5EBD4E8D" w14:textId="77777777" w:rsidR="00297869" w:rsidRDefault="00297869" w:rsidP="00235878">
            <w:pPr>
              <w:jc w:val="center"/>
              <w:rPr>
                <w:sz w:val="20"/>
                <w:szCs w:val="20"/>
              </w:rPr>
            </w:pPr>
          </w:p>
          <w:p w14:paraId="5B48C8CF" w14:textId="77777777" w:rsidR="00297869" w:rsidRDefault="00297869" w:rsidP="00235878">
            <w:pPr>
              <w:jc w:val="center"/>
              <w:rPr>
                <w:sz w:val="20"/>
                <w:szCs w:val="20"/>
              </w:rPr>
            </w:pPr>
          </w:p>
          <w:p w14:paraId="1CE55C4F" w14:textId="144B3D15" w:rsidR="00297869" w:rsidRDefault="00297869" w:rsidP="00235878">
            <w:pPr>
              <w:jc w:val="center"/>
              <w:rPr>
                <w:sz w:val="20"/>
                <w:szCs w:val="20"/>
              </w:rPr>
            </w:pPr>
            <w:r>
              <w:rPr>
                <w:sz w:val="20"/>
                <w:szCs w:val="20"/>
              </w:rPr>
              <w:t>3.353,74</w:t>
            </w:r>
          </w:p>
          <w:p w14:paraId="4069AECC" w14:textId="3663F35A" w:rsidR="00297869" w:rsidRDefault="00297869" w:rsidP="00235878">
            <w:pPr>
              <w:jc w:val="center"/>
              <w:rPr>
                <w:sz w:val="20"/>
                <w:szCs w:val="20"/>
              </w:rPr>
            </w:pPr>
            <w:r>
              <w:rPr>
                <w:sz w:val="20"/>
                <w:szCs w:val="20"/>
              </w:rPr>
              <w:t>139.124,89</w:t>
            </w:r>
          </w:p>
          <w:p w14:paraId="542C5143" w14:textId="48CFAE95" w:rsidR="00297869" w:rsidRDefault="00297869" w:rsidP="00235878">
            <w:pPr>
              <w:jc w:val="center"/>
              <w:rPr>
                <w:sz w:val="20"/>
                <w:szCs w:val="20"/>
              </w:rPr>
            </w:pPr>
            <w:r>
              <w:rPr>
                <w:sz w:val="20"/>
                <w:szCs w:val="20"/>
              </w:rPr>
              <w:t>4.651,90</w:t>
            </w:r>
          </w:p>
          <w:p w14:paraId="0C04C8FE" w14:textId="764CC6B7" w:rsidR="00297869" w:rsidRDefault="00297869" w:rsidP="00235878">
            <w:pPr>
              <w:jc w:val="center"/>
              <w:rPr>
                <w:sz w:val="20"/>
                <w:szCs w:val="20"/>
              </w:rPr>
            </w:pPr>
            <w:r>
              <w:rPr>
                <w:sz w:val="20"/>
                <w:szCs w:val="20"/>
              </w:rPr>
              <w:t>460.399,80</w:t>
            </w:r>
          </w:p>
        </w:tc>
        <w:tc>
          <w:tcPr>
            <w:tcW w:w="1260" w:type="dxa"/>
            <w:tcBorders>
              <w:top w:val="single" w:sz="4" w:space="0" w:color="auto"/>
              <w:left w:val="single" w:sz="4" w:space="0" w:color="auto"/>
              <w:bottom w:val="single" w:sz="4" w:space="0" w:color="auto"/>
              <w:right w:val="single" w:sz="4" w:space="0" w:color="auto"/>
            </w:tcBorders>
          </w:tcPr>
          <w:p w14:paraId="6086F848" w14:textId="77777777" w:rsidR="00297869" w:rsidRDefault="00297869" w:rsidP="00235878">
            <w:pPr>
              <w:jc w:val="center"/>
              <w:rPr>
                <w:sz w:val="20"/>
                <w:szCs w:val="20"/>
              </w:rPr>
            </w:pPr>
          </w:p>
          <w:p w14:paraId="6BB5BB30" w14:textId="77777777" w:rsidR="00773284" w:rsidRDefault="00773284" w:rsidP="00235878">
            <w:pPr>
              <w:jc w:val="center"/>
              <w:rPr>
                <w:sz w:val="20"/>
                <w:szCs w:val="20"/>
              </w:rPr>
            </w:pPr>
          </w:p>
          <w:p w14:paraId="2DF6B993" w14:textId="77777777" w:rsidR="00773284" w:rsidRDefault="00773284" w:rsidP="00235878">
            <w:pPr>
              <w:jc w:val="center"/>
              <w:rPr>
                <w:sz w:val="20"/>
                <w:szCs w:val="20"/>
              </w:rPr>
            </w:pPr>
          </w:p>
          <w:p w14:paraId="482A28CE" w14:textId="11182810" w:rsidR="00773284" w:rsidRDefault="00773284" w:rsidP="00235878">
            <w:pPr>
              <w:jc w:val="center"/>
              <w:rPr>
                <w:sz w:val="20"/>
                <w:szCs w:val="20"/>
              </w:rPr>
            </w:pPr>
            <w:r>
              <w:rPr>
                <w:sz w:val="20"/>
                <w:szCs w:val="20"/>
              </w:rPr>
              <w:t>2.952,33</w:t>
            </w:r>
          </w:p>
          <w:p w14:paraId="3D7E9B43" w14:textId="23472D3D" w:rsidR="00773284" w:rsidRDefault="00D622C5" w:rsidP="00235878">
            <w:pPr>
              <w:jc w:val="center"/>
              <w:rPr>
                <w:sz w:val="20"/>
                <w:szCs w:val="20"/>
              </w:rPr>
            </w:pPr>
            <w:r>
              <w:rPr>
                <w:sz w:val="20"/>
                <w:szCs w:val="20"/>
              </w:rPr>
              <w:t>113.743,83</w:t>
            </w:r>
          </w:p>
          <w:p w14:paraId="1AD3EFA3" w14:textId="77777777" w:rsidR="00773284" w:rsidRDefault="00773284" w:rsidP="00235878">
            <w:pPr>
              <w:jc w:val="center"/>
              <w:rPr>
                <w:sz w:val="20"/>
                <w:szCs w:val="20"/>
              </w:rPr>
            </w:pPr>
            <w:r>
              <w:rPr>
                <w:sz w:val="20"/>
                <w:szCs w:val="20"/>
              </w:rPr>
              <w:t>5.923,60</w:t>
            </w:r>
          </w:p>
          <w:p w14:paraId="1A4C7FE8" w14:textId="74F3B92D" w:rsidR="00773284" w:rsidRDefault="00773284" w:rsidP="00235878">
            <w:pPr>
              <w:jc w:val="center"/>
              <w:rPr>
                <w:sz w:val="20"/>
                <w:szCs w:val="20"/>
              </w:rPr>
            </w:pPr>
            <w:r>
              <w:rPr>
                <w:sz w:val="20"/>
                <w:szCs w:val="20"/>
              </w:rPr>
              <w:t>217.725,88</w:t>
            </w:r>
          </w:p>
        </w:tc>
      </w:tr>
      <w:tr w:rsidR="00297869" w:rsidRPr="002C1B95" w14:paraId="75C0AEF2" w14:textId="03D39E82" w:rsidTr="00380243">
        <w:trPr>
          <w:cantSplit/>
          <w:jc w:val="center"/>
        </w:trPr>
        <w:tc>
          <w:tcPr>
            <w:tcW w:w="2980" w:type="dxa"/>
            <w:tcBorders>
              <w:top w:val="single" w:sz="4" w:space="0" w:color="auto"/>
              <w:left w:val="single" w:sz="4" w:space="0" w:color="auto"/>
              <w:bottom w:val="single" w:sz="4" w:space="0" w:color="auto"/>
              <w:right w:val="single" w:sz="4" w:space="0" w:color="auto"/>
            </w:tcBorders>
          </w:tcPr>
          <w:p w14:paraId="5CDFFE55" w14:textId="77777777" w:rsidR="00297869" w:rsidRPr="002C1B95" w:rsidRDefault="00297869" w:rsidP="004B01CD">
            <w:pPr>
              <w:pStyle w:val="Tabladeilustraciones"/>
              <w:keepNext/>
              <w:jc w:val="right"/>
              <w:rPr>
                <w:b/>
              </w:rPr>
            </w:pPr>
            <w:r w:rsidRPr="002C1B95">
              <w:rPr>
                <w:b/>
              </w:rPr>
              <w:t xml:space="preserve">Total </w:t>
            </w:r>
          </w:p>
        </w:tc>
        <w:tc>
          <w:tcPr>
            <w:tcW w:w="1260" w:type="dxa"/>
            <w:tcBorders>
              <w:top w:val="single" w:sz="4" w:space="0" w:color="auto"/>
              <w:left w:val="single" w:sz="4" w:space="0" w:color="auto"/>
              <w:bottom w:val="single" w:sz="4" w:space="0" w:color="auto"/>
              <w:right w:val="single" w:sz="4" w:space="0" w:color="auto"/>
            </w:tcBorders>
          </w:tcPr>
          <w:p w14:paraId="356B511F" w14:textId="623C577F" w:rsidR="00297869" w:rsidRDefault="00297869" w:rsidP="00603DBB">
            <w:pPr>
              <w:pStyle w:val="Tabladeilustraciones"/>
              <w:keepNext/>
              <w:jc w:val="center"/>
              <w:rPr>
                <w:b/>
              </w:rPr>
            </w:pPr>
            <w:r>
              <w:rPr>
                <w:b/>
              </w:rPr>
              <w:t>607.530,33</w:t>
            </w:r>
          </w:p>
        </w:tc>
        <w:tc>
          <w:tcPr>
            <w:tcW w:w="1260" w:type="dxa"/>
            <w:tcBorders>
              <w:top w:val="single" w:sz="4" w:space="0" w:color="auto"/>
              <w:left w:val="single" w:sz="4" w:space="0" w:color="auto"/>
              <w:bottom w:val="single" w:sz="4" w:space="0" w:color="auto"/>
              <w:right w:val="single" w:sz="4" w:space="0" w:color="auto"/>
            </w:tcBorders>
          </w:tcPr>
          <w:p w14:paraId="68748FAE" w14:textId="5D231A30" w:rsidR="00297869" w:rsidRDefault="00D622C5" w:rsidP="00603DBB">
            <w:pPr>
              <w:pStyle w:val="Tabladeilustraciones"/>
              <w:keepNext/>
              <w:jc w:val="center"/>
              <w:rPr>
                <w:b/>
              </w:rPr>
            </w:pPr>
            <w:r>
              <w:rPr>
                <w:b/>
              </w:rPr>
              <w:t>340.345,64</w:t>
            </w:r>
          </w:p>
        </w:tc>
      </w:tr>
    </w:tbl>
    <w:p w14:paraId="7C04638F" w14:textId="7F3C1810" w:rsidR="005A7A0E" w:rsidRDefault="005A7A0E" w:rsidP="00852805">
      <w:pPr>
        <w:pStyle w:val="Textoindependiente2"/>
        <w:spacing w:after="0" w:line="240" w:lineRule="auto"/>
        <w:rPr>
          <w:szCs w:val="24"/>
        </w:rPr>
      </w:pPr>
    </w:p>
    <w:p w14:paraId="3F742236" w14:textId="77777777" w:rsidR="00344644" w:rsidRDefault="00344644" w:rsidP="00852805">
      <w:pPr>
        <w:pStyle w:val="Textoindependiente2"/>
        <w:spacing w:after="0" w:line="240" w:lineRule="auto"/>
        <w:rPr>
          <w:szCs w:val="24"/>
        </w:rPr>
      </w:pPr>
    </w:p>
    <w:p w14:paraId="75C3C077" w14:textId="59B9EABD" w:rsidR="00D622C5" w:rsidRDefault="00D622C5" w:rsidP="00E554D9">
      <w:pPr>
        <w:pStyle w:val="Textoindependiente2"/>
        <w:spacing w:after="0" w:line="240" w:lineRule="auto"/>
        <w:jc w:val="both"/>
        <w:rPr>
          <w:szCs w:val="24"/>
        </w:rPr>
      </w:pPr>
      <w:r>
        <w:rPr>
          <w:szCs w:val="24"/>
        </w:rPr>
        <w:t>En la cuenta de gasto de seguridad social a cargo de la empresa, están contabilizados 56.753,56€ de cuotas exoneradas que se han llevado a su vez como subvención a la cuenta 740 por lo que este gasto se ve compensado con el ingreso</w:t>
      </w:r>
      <w:r w:rsidR="00612D7A">
        <w:rPr>
          <w:szCs w:val="24"/>
        </w:rPr>
        <w:t xml:space="preserve"> de cara al resultado del ejercicio</w:t>
      </w:r>
      <w:r>
        <w:rPr>
          <w:szCs w:val="24"/>
        </w:rPr>
        <w:t>.</w:t>
      </w:r>
    </w:p>
    <w:p w14:paraId="20AB3BF2" w14:textId="77777777" w:rsidR="00A36F5C" w:rsidRDefault="00A36F5C" w:rsidP="00852805">
      <w:pPr>
        <w:pStyle w:val="Textoindependiente2"/>
        <w:spacing w:after="0" w:line="240" w:lineRule="auto"/>
        <w:rPr>
          <w:szCs w:val="24"/>
        </w:rPr>
      </w:pPr>
    </w:p>
    <w:p w14:paraId="7A89CDDF" w14:textId="73299542" w:rsidR="00D622C5" w:rsidRDefault="00D622C5" w:rsidP="00852805">
      <w:pPr>
        <w:pStyle w:val="Textoindependiente2"/>
        <w:spacing w:after="0" w:line="240" w:lineRule="auto"/>
        <w:rPr>
          <w:szCs w:val="24"/>
        </w:rPr>
      </w:pPr>
    </w:p>
    <w:p w14:paraId="1D4FEC9B" w14:textId="1E34B1E1" w:rsidR="00344644" w:rsidRDefault="00344644" w:rsidP="00852805">
      <w:pPr>
        <w:pStyle w:val="Textoindependiente2"/>
        <w:spacing w:after="0" w:line="240" w:lineRule="auto"/>
        <w:rPr>
          <w:szCs w:val="24"/>
        </w:rPr>
      </w:pPr>
    </w:p>
    <w:p w14:paraId="54C415AA" w14:textId="017FF5E0" w:rsidR="00344644" w:rsidRDefault="00344644" w:rsidP="00852805">
      <w:pPr>
        <w:pStyle w:val="Textoindependiente2"/>
        <w:spacing w:after="0" w:line="240" w:lineRule="auto"/>
        <w:rPr>
          <w:szCs w:val="24"/>
        </w:rPr>
      </w:pPr>
    </w:p>
    <w:p w14:paraId="2508410F" w14:textId="48B49625" w:rsidR="00344644" w:rsidRDefault="00344644" w:rsidP="00852805">
      <w:pPr>
        <w:pStyle w:val="Textoindependiente2"/>
        <w:spacing w:after="0" w:line="240" w:lineRule="auto"/>
        <w:rPr>
          <w:szCs w:val="24"/>
        </w:rPr>
      </w:pPr>
    </w:p>
    <w:p w14:paraId="799FE36A" w14:textId="2516E632" w:rsidR="00852805" w:rsidRPr="002C1B95" w:rsidRDefault="00852805" w:rsidP="00852805">
      <w:pPr>
        <w:pStyle w:val="Textoindependiente2"/>
        <w:spacing w:after="0" w:line="240" w:lineRule="auto"/>
        <w:rPr>
          <w:szCs w:val="24"/>
        </w:rPr>
      </w:pPr>
      <w:r w:rsidRPr="002C1B95">
        <w:rPr>
          <w:szCs w:val="24"/>
        </w:rPr>
        <w:t>El número medio de empleados por categorías ha sido el siguiente:</w:t>
      </w:r>
    </w:p>
    <w:p w14:paraId="05E45EE2" w14:textId="77777777" w:rsidR="00E31FC3" w:rsidRDefault="00E31FC3" w:rsidP="00852805">
      <w:pPr>
        <w:jc w:val="both"/>
        <w:rPr>
          <w:szCs w:val="24"/>
          <w:highlight w:val="green"/>
        </w:rPr>
      </w:pPr>
    </w:p>
    <w:p w14:paraId="2518C3DE" w14:textId="77777777" w:rsidR="005A7A0E" w:rsidRPr="002C1B95" w:rsidRDefault="005A7A0E" w:rsidP="00852805">
      <w:pPr>
        <w:jc w:val="both"/>
        <w:rPr>
          <w:szCs w:val="24"/>
          <w:highlight w:val="green"/>
        </w:rPr>
      </w:pPr>
    </w:p>
    <w:tbl>
      <w:tblPr>
        <w:tblpPr w:leftFromText="180" w:rightFromText="180" w:vertAnchor="text" w:tblpXSpec="center" w:tblpY="1"/>
        <w:tblOverlap w:val="never"/>
        <w:tblW w:w="0" w:type="auto"/>
        <w:tblLayout w:type="fixed"/>
        <w:tblCellMar>
          <w:left w:w="0" w:type="dxa"/>
          <w:right w:w="0" w:type="dxa"/>
        </w:tblCellMar>
        <w:tblLook w:val="0000" w:firstRow="0" w:lastRow="0" w:firstColumn="0" w:lastColumn="0" w:noHBand="0" w:noVBand="0"/>
      </w:tblPr>
      <w:tblGrid>
        <w:gridCol w:w="3455"/>
        <w:gridCol w:w="1200"/>
        <w:gridCol w:w="1200"/>
      </w:tblGrid>
      <w:tr w:rsidR="00297869" w:rsidRPr="002C1B95" w14:paraId="09944F09" w14:textId="5CFAE250" w:rsidTr="0007558A">
        <w:trPr>
          <w:trHeight w:val="70"/>
        </w:trPr>
        <w:tc>
          <w:tcPr>
            <w:tcW w:w="3455" w:type="dxa"/>
            <w:tcBorders>
              <w:top w:val="single" w:sz="4" w:space="0" w:color="auto"/>
              <w:left w:val="single" w:sz="4" w:space="0" w:color="auto"/>
              <w:right w:val="single" w:sz="4" w:space="0" w:color="auto"/>
            </w:tcBorders>
            <w:vAlign w:val="bottom"/>
          </w:tcPr>
          <w:p w14:paraId="421EE53A" w14:textId="77777777" w:rsidR="00297869" w:rsidRPr="002C1B95" w:rsidRDefault="00297869" w:rsidP="004A5AA8">
            <w:pPr>
              <w:pStyle w:val="Tabladeilustraciones"/>
              <w:keepNext/>
              <w:jc w:val="center"/>
            </w:pPr>
          </w:p>
        </w:tc>
        <w:tc>
          <w:tcPr>
            <w:tcW w:w="1200" w:type="dxa"/>
            <w:tcBorders>
              <w:top w:val="single" w:sz="4" w:space="0" w:color="auto"/>
              <w:left w:val="single" w:sz="4" w:space="0" w:color="auto"/>
              <w:right w:val="single" w:sz="4" w:space="0" w:color="auto"/>
            </w:tcBorders>
          </w:tcPr>
          <w:p w14:paraId="12C04225" w14:textId="77777777" w:rsidR="00297869" w:rsidRPr="002C1B95" w:rsidRDefault="00297869" w:rsidP="004A5AA8">
            <w:pPr>
              <w:pStyle w:val="Tabladeilustraciones"/>
              <w:keepNext/>
              <w:jc w:val="center"/>
            </w:pPr>
            <w:proofErr w:type="spellStart"/>
            <w:r w:rsidRPr="002C1B95">
              <w:t>Nº</w:t>
            </w:r>
            <w:proofErr w:type="spellEnd"/>
            <w:r w:rsidRPr="002C1B95">
              <w:t xml:space="preserve"> medio de Empleados</w:t>
            </w:r>
          </w:p>
          <w:p w14:paraId="3AD38A9A" w14:textId="6A2D27DF" w:rsidR="00297869" w:rsidRPr="002C1B95" w:rsidRDefault="00297869" w:rsidP="004A5AA8">
            <w:pPr>
              <w:pStyle w:val="Tabladeilustraciones"/>
              <w:keepNext/>
              <w:jc w:val="center"/>
            </w:pPr>
            <w:r>
              <w:t>2019</w:t>
            </w:r>
          </w:p>
        </w:tc>
        <w:tc>
          <w:tcPr>
            <w:tcW w:w="1200" w:type="dxa"/>
            <w:tcBorders>
              <w:top w:val="single" w:sz="4" w:space="0" w:color="auto"/>
              <w:left w:val="single" w:sz="4" w:space="0" w:color="auto"/>
              <w:right w:val="single" w:sz="4" w:space="0" w:color="auto"/>
            </w:tcBorders>
          </w:tcPr>
          <w:p w14:paraId="43325FEE" w14:textId="77777777" w:rsidR="00297869" w:rsidRPr="002C1B95" w:rsidRDefault="00297869" w:rsidP="00297869">
            <w:pPr>
              <w:pStyle w:val="Tabladeilustraciones"/>
              <w:keepNext/>
              <w:jc w:val="center"/>
            </w:pPr>
            <w:proofErr w:type="spellStart"/>
            <w:r w:rsidRPr="002C1B95">
              <w:t>Nº</w:t>
            </w:r>
            <w:proofErr w:type="spellEnd"/>
            <w:r w:rsidRPr="002C1B95">
              <w:t xml:space="preserve"> medio de Empleados</w:t>
            </w:r>
          </w:p>
          <w:p w14:paraId="1FC8F852" w14:textId="4F582DDE" w:rsidR="00297869" w:rsidRPr="002C1B95" w:rsidRDefault="00297869" w:rsidP="00297869">
            <w:pPr>
              <w:pStyle w:val="Tabladeilustraciones"/>
              <w:keepNext/>
              <w:jc w:val="center"/>
            </w:pPr>
            <w:r>
              <w:t>2020</w:t>
            </w:r>
          </w:p>
        </w:tc>
      </w:tr>
      <w:tr w:rsidR="00297869" w:rsidRPr="002C1B95" w14:paraId="72CD17B2" w14:textId="7BEB32C9" w:rsidTr="0007558A">
        <w:trPr>
          <w:trHeight w:val="70"/>
        </w:trPr>
        <w:tc>
          <w:tcPr>
            <w:tcW w:w="3455" w:type="dxa"/>
            <w:tcBorders>
              <w:left w:val="single" w:sz="4" w:space="0" w:color="auto"/>
              <w:bottom w:val="single" w:sz="4" w:space="0" w:color="auto"/>
              <w:right w:val="single" w:sz="4" w:space="0" w:color="auto"/>
            </w:tcBorders>
            <w:vAlign w:val="bottom"/>
          </w:tcPr>
          <w:p w14:paraId="19A8AFF0" w14:textId="77777777" w:rsidR="00297869" w:rsidRPr="002C1B95" w:rsidRDefault="00297869" w:rsidP="004A5AA8">
            <w:pPr>
              <w:pStyle w:val="Tabladeilustraciones"/>
              <w:keepNext/>
              <w:jc w:val="center"/>
            </w:pPr>
          </w:p>
        </w:tc>
        <w:tc>
          <w:tcPr>
            <w:tcW w:w="1200" w:type="dxa"/>
            <w:tcBorders>
              <w:left w:val="single" w:sz="4" w:space="0" w:color="auto"/>
              <w:bottom w:val="single" w:sz="4" w:space="0" w:color="auto"/>
              <w:right w:val="single" w:sz="4" w:space="0" w:color="auto"/>
            </w:tcBorders>
          </w:tcPr>
          <w:p w14:paraId="1BDE8C0B" w14:textId="77777777" w:rsidR="00297869" w:rsidRPr="002C1B95" w:rsidRDefault="00297869" w:rsidP="004A5AA8">
            <w:pPr>
              <w:pStyle w:val="Tabladeilustraciones"/>
              <w:keepNext/>
              <w:jc w:val="center"/>
            </w:pPr>
          </w:p>
        </w:tc>
        <w:tc>
          <w:tcPr>
            <w:tcW w:w="1200" w:type="dxa"/>
            <w:tcBorders>
              <w:left w:val="single" w:sz="4" w:space="0" w:color="auto"/>
              <w:bottom w:val="single" w:sz="4" w:space="0" w:color="auto"/>
              <w:right w:val="single" w:sz="4" w:space="0" w:color="auto"/>
            </w:tcBorders>
          </w:tcPr>
          <w:p w14:paraId="0908306D" w14:textId="77777777" w:rsidR="00297869" w:rsidRPr="002C1B95" w:rsidRDefault="00297869" w:rsidP="004A5AA8">
            <w:pPr>
              <w:pStyle w:val="Tabladeilustraciones"/>
              <w:keepNext/>
              <w:jc w:val="center"/>
            </w:pPr>
          </w:p>
        </w:tc>
      </w:tr>
      <w:tr w:rsidR="00297869" w:rsidRPr="002C1B95" w14:paraId="1F5CBB22" w14:textId="1A366C30" w:rsidTr="0007558A">
        <w:trPr>
          <w:trHeight w:val="80"/>
        </w:trPr>
        <w:tc>
          <w:tcPr>
            <w:tcW w:w="3455" w:type="dxa"/>
            <w:tcBorders>
              <w:top w:val="single" w:sz="4" w:space="0" w:color="auto"/>
              <w:left w:val="single" w:sz="4" w:space="0" w:color="auto"/>
              <w:right w:val="single" w:sz="4" w:space="0" w:color="auto"/>
            </w:tcBorders>
            <w:vAlign w:val="bottom"/>
          </w:tcPr>
          <w:p w14:paraId="4112EF97" w14:textId="77777777" w:rsidR="00297869" w:rsidRPr="002C1B95" w:rsidRDefault="00297869" w:rsidP="004A5AA8">
            <w:pPr>
              <w:pStyle w:val="Tabladeilustraciones"/>
              <w:keepNext/>
            </w:pPr>
            <w:r w:rsidRPr="002C1B95">
              <w:t xml:space="preserve">  Fijos</w:t>
            </w:r>
          </w:p>
        </w:tc>
        <w:tc>
          <w:tcPr>
            <w:tcW w:w="1200" w:type="dxa"/>
            <w:tcBorders>
              <w:top w:val="single" w:sz="4" w:space="0" w:color="auto"/>
              <w:left w:val="single" w:sz="4" w:space="0" w:color="auto"/>
              <w:right w:val="single" w:sz="4" w:space="0" w:color="auto"/>
            </w:tcBorders>
          </w:tcPr>
          <w:p w14:paraId="3688D344" w14:textId="30D0F78B" w:rsidR="00297869" w:rsidRDefault="00297869" w:rsidP="004A5AA8">
            <w:pPr>
              <w:pStyle w:val="Tabladeilustraciones"/>
              <w:keepNext/>
              <w:tabs>
                <w:tab w:val="left" w:pos="556"/>
              </w:tabs>
              <w:jc w:val="center"/>
            </w:pPr>
            <w:r>
              <w:t>14,99</w:t>
            </w:r>
          </w:p>
        </w:tc>
        <w:tc>
          <w:tcPr>
            <w:tcW w:w="1200" w:type="dxa"/>
            <w:tcBorders>
              <w:top w:val="single" w:sz="4" w:space="0" w:color="auto"/>
              <w:left w:val="single" w:sz="4" w:space="0" w:color="auto"/>
              <w:right w:val="single" w:sz="4" w:space="0" w:color="auto"/>
            </w:tcBorders>
          </w:tcPr>
          <w:p w14:paraId="34E135D2" w14:textId="76B955B2" w:rsidR="00297869" w:rsidRDefault="00773284" w:rsidP="004A5AA8">
            <w:pPr>
              <w:pStyle w:val="Tabladeilustraciones"/>
              <w:keepNext/>
              <w:tabs>
                <w:tab w:val="left" w:pos="556"/>
              </w:tabs>
              <w:jc w:val="center"/>
            </w:pPr>
            <w:r>
              <w:t>8.58</w:t>
            </w:r>
          </w:p>
        </w:tc>
      </w:tr>
      <w:tr w:rsidR="00297869" w:rsidRPr="002C1B95" w14:paraId="082B39B1" w14:textId="3EDA7E99" w:rsidTr="0007558A">
        <w:trPr>
          <w:trHeight w:val="80"/>
        </w:trPr>
        <w:tc>
          <w:tcPr>
            <w:tcW w:w="3455" w:type="dxa"/>
            <w:tcBorders>
              <w:left w:val="single" w:sz="4" w:space="0" w:color="auto"/>
              <w:right w:val="single" w:sz="4" w:space="0" w:color="auto"/>
            </w:tcBorders>
            <w:vAlign w:val="bottom"/>
          </w:tcPr>
          <w:p w14:paraId="4383C997" w14:textId="77777777" w:rsidR="00297869" w:rsidRPr="002C1B95" w:rsidRDefault="00297869" w:rsidP="004A5AA8">
            <w:pPr>
              <w:pStyle w:val="Tabladeilustraciones"/>
              <w:keepNext/>
            </w:pPr>
            <w:r w:rsidRPr="002C1B95">
              <w:t xml:space="preserve">  Eventuales</w:t>
            </w:r>
          </w:p>
        </w:tc>
        <w:tc>
          <w:tcPr>
            <w:tcW w:w="1200" w:type="dxa"/>
            <w:tcBorders>
              <w:left w:val="single" w:sz="4" w:space="0" w:color="auto"/>
              <w:right w:val="single" w:sz="4" w:space="0" w:color="auto"/>
            </w:tcBorders>
          </w:tcPr>
          <w:p w14:paraId="1C03A348" w14:textId="50B3A461" w:rsidR="00297869" w:rsidRDefault="00297869" w:rsidP="004A5AA8">
            <w:pPr>
              <w:pStyle w:val="Tabladeilustraciones"/>
              <w:keepNext/>
              <w:tabs>
                <w:tab w:val="left" w:pos="556"/>
              </w:tabs>
              <w:ind w:right="118"/>
              <w:jc w:val="center"/>
            </w:pPr>
            <w:r>
              <w:t>8,16</w:t>
            </w:r>
          </w:p>
        </w:tc>
        <w:tc>
          <w:tcPr>
            <w:tcW w:w="1200" w:type="dxa"/>
            <w:tcBorders>
              <w:left w:val="single" w:sz="4" w:space="0" w:color="auto"/>
              <w:right w:val="single" w:sz="4" w:space="0" w:color="auto"/>
            </w:tcBorders>
          </w:tcPr>
          <w:p w14:paraId="5F378E18" w14:textId="5777A6BA" w:rsidR="00297869" w:rsidRDefault="00773284" w:rsidP="004A5AA8">
            <w:pPr>
              <w:pStyle w:val="Tabladeilustraciones"/>
              <w:keepNext/>
              <w:tabs>
                <w:tab w:val="left" w:pos="556"/>
              </w:tabs>
              <w:ind w:right="118"/>
              <w:jc w:val="center"/>
            </w:pPr>
            <w:r>
              <w:t>1.97</w:t>
            </w:r>
          </w:p>
        </w:tc>
      </w:tr>
      <w:tr w:rsidR="00297869" w:rsidRPr="002C1B95" w14:paraId="2EC24EDA" w14:textId="715318BD" w:rsidTr="0007558A">
        <w:trPr>
          <w:trHeight w:val="83"/>
        </w:trPr>
        <w:tc>
          <w:tcPr>
            <w:tcW w:w="3455" w:type="dxa"/>
            <w:tcBorders>
              <w:top w:val="nil"/>
              <w:left w:val="single" w:sz="4" w:space="0" w:color="auto"/>
              <w:bottom w:val="single" w:sz="4" w:space="0" w:color="auto"/>
              <w:right w:val="single" w:sz="4" w:space="0" w:color="auto"/>
            </w:tcBorders>
            <w:vAlign w:val="bottom"/>
          </w:tcPr>
          <w:p w14:paraId="7D50DD8A" w14:textId="77777777" w:rsidR="00297869" w:rsidRPr="002C1B95" w:rsidRDefault="00297869" w:rsidP="004A5AA8">
            <w:pPr>
              <w:pStyle w:val="Tabladeilustraciones"/>
              <w:keepNext/>
              <w:jc w:val="center"/>
            </w:pPr>
          </w:p>
        </w:tc>
        <w:tc>
          <w:tcPr>
            <w:tcW w:w="1200" w:type="dxa"/>
            <w:tcBorders>
              <w:top w:val="single" w:sz="4" w:space="0" w:color="auto"/>
              <w:left w:val="single" w:sz="4" w:space="0" w:color="auto"/>
              <w:bottom w:val="single" w:sz="4" w:space="0" w:color="auto"/>
              <w:right w:val="single" w:sz="4" w:space="0" w:color="auto"/>
            </w:tcBorders>
          </w:tcPr>
          <w:p w14:paraId="3A22BFE3" w14:textId="6DB7A158" w:rsidR="00297869" w:rsidRDefault="00297869" w:rsidP="004A5AA8">
            <w:pPr>
              <w:pStyle w:val="Tabladeilustraciones"/>
              <w:keepNext/>
              <w:ind w:right="118"/>
              <w:jc w:val="center"/>
              <w:rPr>
                <w:b/>
              </w:rPr>
            </w:pPr>
            <w:r>
              <w:rPr>
                <w:b/>
              </w:rPr>
              <w:t>23,15</w:t>
            </w:r>
          </w:p>
        </w:tc>
        <w:tc>
          <w:tcPr>
            <w:tcW w:w="1200" w:type="dxa"/>
            <w:tcBorders>
              <w:top w:val="single" w:sz="4" w:space="0" w:color="auto"/>
              <w:left w:val="single" w:sz="4" w:space="0" w:color="auto"/>
              <w:bottom w:val="single" w:sz="4" w:space="0" w:color="auto"/>
              <w:right w:val="single" w:sz="4" w:space="0" w:color="auto"/>
            </w:tcBorders>
          </w:tcPr>
          <w:p w14:paraId="1BE90BB0" w14:textId="6613B6D6" w:rsidR="00297869" w:rsidRDefault="00773284" w:rsidP="004A5AA8">
            <w:pPr>
              <w:pStyle w:val="Tabladeilustraciones"/>
              <w:keepNext/>
              <w:ind w:right="118"/>
              <w:jc w:val="center"/>
              <w:rPr>
                <w:b/>
              </w:rPr>
            </w:pPr>
            <w:r>
              <w:rPr>
                <w:b/>
              </w:rPr>
              <w:t>10.55</w:t>
            </w:r>
          </w:p>
        </w:tc>
      </w:tr>
    </w:tbl>
    <w:p w14:paraId="6F57D171" w14:textId="77777777" w:rsidR="004D566A" w:rsidRPr="002C1B95" w:rsidRDefault="004D566A" w:rsidP="004D566A">
      <w:pPr>
        <w:jc w:val="both"/>
        <w:rPr>
          <w:szCs w:val="24"/>
          <w:highlight w:val="green"/>
        </w:rPr>
      </w:pPr>
    </w:p>
    <w:p w14:paraId="170ACA7F" w14:textId="77777777" w:rsidR="004D566A" w:rsidRPr="002C1B95" w:rsidRDefault="004D566A" w:rsidP="00CF7EBD">
      <w:pPr>
        <w:jc w:val="both"/>
        <w:rPr>
          <w:b/>
          <w:u w:val="single"/>
          <w:lang w:val="es-ES_tradnl"/>
        </w:rPr>
      </w:pPr>
    </w:p>
    <w:p w14:paraId="14073A17" w14:textId="77777777" w:rsidR="002373EA" w:rsidRPr="002C1B95" w:rsidRDefault="002373EA" w:rsidP="00CF7EBD">
      <w:pPr>
        <w:jc w:val="both"/>
        <w:rPr>
          <w:b/>
          <w:u w:val="single"/>
          <w:lang w:val="es-ES_tradnl"/>
        </w:rPr>
      </w:pPr>
    </w:p>
    <w:p w14:paraId="744C308F" w14:textId="77777777" w:rsidR="002373EA" w:rsidRPr="004C6B59" w:rsidRDefault="002373EA" w:rsidP="00CF7EBD">
      <w:pPr>
        <w:jc w:val="both"/>
        <w:rPr>
          <w:b/>
          <w:color w:val="C00000"/>
          <w:u w:val="single"/>
          <w:lang w:val="es-ES_tradnl"/>
        </w:rPr>
      </w:pPr>
    </w:p>
    <w:p w14:paraId="29EFE499" w14:textId="77777777" w:rsidR="002373EA" w:rsidRPr="004C6B59" w:rsidRDefault="002373EA" w:rsidP="00CF7EBD">
      <w:pPr>
        <w:jc w:val="both"/>
        <w:rPr>
          <w:b/>
          <w:color w:val="C00000"/>
          <w:u w:val="single"/>
          <w:lang w:val="es-ES_tradnl"/>
        </w:rPr>
      </w:pPr>
    </w:p>
    <w:p w14:paraId="732184CA" w14:textId="77777777" w:rsidR="002C7599" w:rsidRDefault="002C7599" w:rsidP="00CF7EBD">
      <w:pPr>
        <w:jc w:val="both"/>
        <w:rPr>
          <w:b/>
          <w:color w:val="C00000"/>
          <w:u w:val="single"/>
          <w:lang w:val="es-ES_tradnl"/>
        </w:rPr>
      </w:pPr>
    </w:p>
    <w:p w14:paraId="15A0A04E" w14:textId="77777777" w:rsidR="006906A8" w:rsidRDefault="006906A8" w:rsidP="00037FF8">
      <w:pPr>
        <w:tabs>
          <w:tab w:val="left" w:pos="567"/>
        </w:tabs>
        <w:jc w:val="both"/>
        <w:rPr>
          <w:b/>
          <w:color w:val="C00000"/>
          <w:u w:val="single"/>
          <w:lang w:val="es-ES_tradnl"/>
        </w:rPr>
      </w:pPr>
    </w:p>
    <w:p w14:paraId="029018E5" w14:textId="77777777" w:rsidR="006906A8" w:rsidRDefault="006906A8" w:rsidP="00037FF8">
      <w:pPr>
        <w:tabs>
          <w:tab w:val="left" w:pos="567"/>
        </w:tabs>
        <w:jc w:val="both"/>
        <w:rPr>
          <w:b/>
          <w:color w:val="C00000"/>
          <w:u w:val="single"/>
          <w:lang w:val="es-ES_tradnl"/>
        </w:rPr>
      </w:pPr>
    </w:p>
    <w:p w14:paraId="057965B2" w14:textId="4E32811D" w:rsidR="005868CA" w:rsidRDefault="005868CA" w:rsidP="00037FF8">
      <w:pPr>
        <w:tabs>
          <w:tab w:val="left" w:pos="567"/>
        </w:tabs>
        <w:jc w:val="both"/>
        <w:rPr>
          <w:szCs w:val="24"/>
        </w:rPr>
      </w:pPr>
      <w:r w:rsidRPr="00944056">
        <w:rPr>
          <w:b/>
          <w:i/>
          <w:szCs w:val="24"/>
        </w:rPr>
        <w:t xml:space="preserve">-Otros gastos de explotación </w:t>
      </w:r>
    </w:p>
    <w:p w14:paraId="1D3F077A" w14:textId="77777777" w:rsidR="00037FF8" w:rsidRPr="00944056" w:rsidRDefault="00037FF8" w:rsidP="00037FF8">
      <w:pPr>
        <w:tabs>
          <w:tab w:val="left" w:pos="567"/>
        </w:tabs>
        <w:jc w:val="both"/>
        <w:rPr>
          <w:szCs w:val="24"/>
        </w:rPr>
      </w:pPr>
    </w:p>
    <w:p w14:paraId="160E9470" w14:textId="7A09AC19" w:rsidR="00E31FC3" w:rsidRDefault="00384EE6" w:rsidP="005868CA">
      <w:pPr>
        <w:jc w:val="both"/>
        <w:rPr>
          <w:szCs w:val="24"/>
        </w:rPr>
      </w:pPr>
      <w:r w:rsidRPr="008C50F0">
        <w:rPr>
          <w:szCs w:val="24"/>
        </w:rPr>
        <w:t xml:space="preserve">El saldo de la cuenta “Otros gastos de explotación” del ejercicio </w:t>
      </w:r>
      <w:r w:rsidR="00E303F2">
        <w:rPr>
          <w:szCs w:val="24"/>
        </w:rPr>
        <w:t>20</w:t>
      </w:r>
      <w:r w:rsidR="00297869">
        <w:rPr>
          <w:szCs w:val="24"/>
        </w:rPr>
        <w:t>20</w:t>
      </w:r>
      <w:r w:rsidRPr="008C50F0">
        <w:rPr>
          <w:szCs w:val="24"/>
        </w:rPr>
        <w:t xml:space="preserve"> presenta la siguiente composición:</w:t>
      </w:r>
    </w:p>
    <w:p w14:paraId="55044725" w14:textId="77777777" w:rsidR="000114C9" w:rsidRPr="00944056" w:rsidRDefault="000114C9" w:rsidP="005868CA">
      <w:pPr>
        <w:jc w:val="both"/>
        <w:rPr>
          <w:szCs w:val="24"/>
        </w:rPr>
      </w:pPr>
    </w:p>
    <w:tbl>
      <w:tblPr>
        <w:tblW w:w="0" w:type="auto"/>
        <w:jc w:val="center"/>
        <w:tblLayout w:type="fixed"/>
        <w:tblCellMar>
          <w:left w:w="42" w:type="dxa"/>
          <w:right w:w="42" w:type="dxa"/>
        </w:tblCellMar>
        <w:tblLook w:val="0000" w:firstRow="0" w:lastRow="0" w:firstColumn="0" w:lastColumn="0" w:noHBand="0" w:noVBand="0"/>
      </w:tblPr>
      <w:tblGrid>
        <w:gridCol w:w="3979"/>
        <w:gridCol w:w="1260"/>
        <w:gridCol w:w="1260"/>
      </w:tblGrid>
      <w:tr w:rsidR="00297869" w:rsidRPr="00B03E48" w14:paraId="39808E48" w14:textId="3FFC5357" w:rsidTr="00666F62">
        <w:trPr>
          <w:cantSplit/>
          <w:trHeight w:val="170"/>
          <w:jc w:val="center"/>
        </w:trPr>
        <w:tc>
          <w:tcPr>
            <w:tcW w:w="3979" w:type="dxa"/>
            <w:tcBorders>
              <w:top w:val="single" w:sz="4" w:space="0" w:color="auto"/>
              <w:left w:val="single" w:sz="4" w:space="0" w:color="auto"/>
              <w:bottom w:val="single" w:sz="4" w:space="0" w:color="auto"/>
              <w:right w:val="single" w:sz="4" w:space="0" w:color="auto"/>
            </w:tcBorders>
          </w:tcPr>
          <w:p w14:paraId="202A427E" w14:textId="77777777" w:rsidR="00297869" w:rsidRPr="00B03E48" w:rsidRDefault="00297869" w:rsidP="00113660">
            <w:pPr>
              <w:pStyle w:val="Tabladeilustraciones"/>
              <w:keepNext/>
              <w:jc w:val="center"/>
              <w:rPr>
                <w:b/>
              </w:rPr>
            </w:pPr>
          </w:p>
        </w:tc>
        <w:tc>
          <w:tcPr>
            <w:tcW w:w="1260" w:type="dxa"/>
            <w:tcBorders>
              <w:top w:val="single" w:sz="4" w:space="0" w:color="auto"/>
              <w:left w:val="single" w:sz="4" w:space="0" w:color="auto"/>
              <w:bottom w:val="single" w:sz="4" w:space="0" w:color="auto"/>
              <w:right w:val="single" w:sz="4" w:space="0" w:color="auto"/>
            </w:tcBorders>
          </w:tcPr>
          <w:p w14:paraId="0570103B" w14:textId="6C1C8223" w:rsidR="00297869" w:rsidRDefault="00297869" w:rsidP="00A30C71">
            <w:pPr>
              <w:pStyle w:val="Tabladeilustraciones"/>
              <w:keepNext/>
              <w:jc w:val="center"/>
            </w:pPr>
            <w:r>
              <w:t>2019</w:t>
            </w:r>
          </w:p>
        </w:tc>
        <w:tc>
          <w:tcPr>
            <w:tcW w:w="1260" w:type="dxa"/>
            <w:tcBorders>
              <w:top w:val="single" w:sz="4" w:space="0" w:color="auto"/>
              <w:left w:val="single" w:sz="4" w:space="0" w:color="auto"/>
              <w:bottom w:val="single" w:sz="4" w:space="0" w:color="auto"/>
              <w:right w:val="single" w:sz="4" w:space="0" w:color="auto"/>
            </w:tcBorders>
          </w:tcPr>
          <w:p w14:paraId="4E16074C" w14:textId="166839D2" w:rsidR="00297869" w:rsidRDefault="00297869" w:rsidP="00A30C71">
            <w:pPr>
              <w:pStyle w:val="Tabladeilustraciones"/>
              <w:keepNext/>
              <w:jc w:val="center"/>
            </w:pPr>
            <w:r>
              <w:t>2020</w:t>
            </w:r>
          </w:p>
        </w:tc>
      </w:tr>
      <w:tr w:rsidR="00297869" w:rsidRPr="00B03E48" w14:paraId="7B680E2A" w14:textId="3E22CE85" w:rsidTr="00666F62">
        <w:trPr>
          <w:cantSplit/>
          <w:jc w:val="center"/>
        </w:trPr>
        <w:tc>
          <w:tcPr>
            <w:tcW w:w="3979" w:type="dxa"/>
            <w:tcBorders>
              <w:top w:val="single" w:sz="4" w:space="0" w:color="auto"/>
              <w:left w:val="single" w:sz="4" w:space="0" w:color="auto"/>
              <w:bottom w:val="single" w:sz="4" w:space="0" w:color="auto"/>
              <w:right w:val="single" w:sz="4" w:space="0" w:color="auto"/>
            </w:tcBorders>
          </w:tcPr>
          <w:p w14:paraId="13DF2026" w14:textId="77777777" w:rsidR="00297869" w:rsidRPr="00B03E48" w:rsidRDefault="00297869" w:rsidP="00113660">
            <w:pPr>
              <w:pStyle w:val="Tabladeilustraciones"/>
              <w:keepNext/>
            </w:pPr>
          </w:p>
          <w:p w14:paraId="71E109EC" w14:textId="77777777" w:rsidR="00297869" w:rsidRPr="00B03E48" w:rsidRDefault="00297869" w:rsidP="00113660">
            <w:pPr>
              <w:rPr>
                <w:b/>
                <w:sz w:val="20"/>
                <w:szCs w:val="20"/>
              </w:rPr>
            </w:pPr>
            <w:r w:rsidRPr="00B03E48">
              <w:rPr>
                <w:b/>
                <w:sz w:val="20"/>
                <w:szCs w:val="20"/>
              </w:rPr>
              <w:t>Otros gastos de explotación:</w:t>
            </w:r>
          </w:p>
          <w:p w14:paraId="6146A4CF" w14:textId="77777777" w:rsidR="00297869" w:rsidRPr="00B03E48" w:rsidRDefault="00297869" w:rsidP="00113660">
            <w:pPr>
              <w:rPr>
                <w:sz w:val="20"/>
                <w:szCs w:val="20"/>
              </w:rPr>
            </w:pPr>
            <w:r w:rsidRPr="00B03E48">
              <w:rPr>
                <w:sz w:val="20"/>
                <w:szCs w:val="20"/>
              </w:rPr>
              <w:t xml:space="preserve">  Servicios exteriores</w:t>
            </w:r>
          </w:p>
          <w:p w14:paraId="6E2D7FA0" w14:textId="77777777" w:rsidR="00297869" w:rsidRPr="00B03E48" w:rsidRDefault="00297869" w:rsidP="00113660">
            <w:pPr>
              <w:rPr>
                <w:sz w:val="20"/>
                <w:szCs w:val="20"/>
              </w:rPr>
            </w:pPr>
            <w:r w:rsidRPr="00B03E48">
              <w:rPr>
                <w:sz w:val="20"/>
                <w:szCs w:val="20"/>
              </w:rPr>
              <w:t xml:space="preserve">  Tributos</w:t>
            </w:r>
          </w:p>
          <w:p w14:paraId="62860293" w14:textId="77777777" w:rsidR="00297869" w:rsidRPr="00B03E48" w:rsidRDefault="00297869" w:rsidP="00113660">
            <w:pPr>
              <w:rPr>
                <w:sz w:val="20"/>
                <w:szCs w:val="20"/>
              </w:rPr>
            </w:pPr>
            <w:r w:rsidRPr="00B03E48">
              <w:rPr>
                <w:sz w:val="20"/>
                <w:szCs w:val="20"/>
              </w:rPr>
              <w:t xml:space="preserve">  Pérdidas por deterioro de créditos comerciales</w:t>
            </w:r>
          </w:p>
          <w:p w14:paraId="4A1DBF82" w14:textId="77777777" w:rsidR="00297869" w:rsidRPr="00B03E48" w:rsidRDefault="00297869" w:rsidP="00113660">
            <w:pPr>
              <w:rPr>
                <w:sz w:val="20"/>
                <w:szCs w:val="20"/>
              </w:rPr>
            </w:pPr>
            <w:r w:rsidRPr="00B03E48">
              <w:rPr>
                <w:b/>
                <w:sz w:val="20"/>
                <w:szCs w:val="20"/>
              </w:rPr>
              <w:t xml:space="preserve">  </w:t>
            </w:r>
            <w:r w:rsidRPr="00B03E48">
              <w:rPr>
                <w:sz w:val="20"/>
                <w:szCs w:val="20"/>
              </w:rPr>
              <w:t>Otros gastos de gestión corriente</w:t>
            </w:r>
          </w:p>
        </w:tc>
        <w:tc>
          <w:tcPr>
            <w:tcW w:w="1260" w:type="dxa"/>
            <w:tcBorders>
              <w:top w:val="single" w:sz="4" w:space="0" w:color="auto"/>
              <w:left w:val="single" w:sz="4" w:space="0" w:color="auto"/>
              <w:bottom w:val="single" w:sz="4" w:space="0" w:color="auto"/>
              <w:right w:val="single" w:sz="4" w:space="0" w:color="auto"/>
            </w:tcBorders>
          </w:tcPr>
          <w:p w14:paraId="62962A4B" w14:textId="77777777" w:rsidR="00297869" w:rsidRDefault="00297869" w:rsidP="00534237">
            <w:pPr>
              <w:jc w:val="center"/>
              <w:rPr>
                <w:sz w:val="20"/>
                <w:szCs w:val="20"/>
              </w:rPr>
            </w:pPr>
          </w:p>
          <w:p w14:paraId="222906E6" w14:textId="77777777" w:rsidR="00297869" w:rsidRDefault="00297869" w:rsidP="00534237">
            <w:pPr>
              <w:jc w:val="center"/>
              <w:rPr>
                <w:sz w:val="20"/>
                <w:szCs w:val="20"/>
              </w:rPr>
            </w:pPr>
          </w:p>
          <w:p w14:paraId="126FAB7C" w14:textId="7248B2FA" w:rsidR="00297869" w:rsidRDefault="00297869" w:rsidP="00534237">
            <w:pPr>
              <w:jc w:val="center"/>
              <w:rPr>
                <w:sz w:val="20"/>
                <w:szCs w:val="20"/>
              </w:rPr>
            </w:pPr>
            <w:r>
              <w:rPr>
                <w:sz w:val="20"/>
                <w:szCs w:val="20"/>
              </w:rPr>
              <w:t>83.438,48</w:t>
            </w:r>
          </w:p>
          <w:p w14:paraId="4D0E2BAE" w14:textId="77777777" w:rsidR="00297869" w:rsidRDefault="00297869" w:rsidP="00534237">
            <w:pPr>
              <w:jc w:val="center"/>
              <w:rPr>
                <w:sz w:val="20"/>
                <w:szCs w:val="20"/>
              </w:rPr>
            </w:pPr>
            <w:r>
              <w:rPr>
                <w:sz w:val="20"/>
                <w:szCs w:val="20"/>
              </w:rPr>
              <w:t>15.508,93</w:t>
            </w:r>
          </w:p>
          <w:p w14:paraId="4AB57B18" w14:textId="77777777" w:rsidR="00297869" w:rsidRDefault="00297869" w:rsidP="00534237">
            <w:pPr>
              <w:jc w:val="center"/>
              <w:rPr>
                <w:sz w:val="20"/>
                <w:szCs w:val="20"/>
              </w:rPr>
            </w:pPr>
          </w:p>
          <w:p w14:paraId="16F4DB2E" w14:textId="265AEE3A" w:rsidR="00297869" w:rsidRDefault="00297869" w:rsidP="00534237">
            <w:pPr>
              <w:jc w:val="center"/>
              <w:rPr>
                <w:sz w:val="20"/>
                <w:szCs w:val="20"/>
              </w:rPr>
            </w:pPr>
            <w:r>
              <w:rPr>
                <w:sz w:val="20"/>
                <w:szCs w:val="20"/>
              </w:rPr>
              <w:t>105.094,69</w:t>
            </w:r>
          </w:p>
        </w:tc>
        <w:tc>
          <w:tcPr>
            <w:tcW w:w="1260" w:type="dxa"/>
            <w:tcBorders>
              <w:top w:val="single" w:sz="4" w:space="0" w:color="auto"/>
              <w:left w:val="single" w:sz="4" w:space="0" w:color="auto"/>
              <w:bottom w:val="single" w:sz="4" w:space="0" w:color="auto"/>
              <w:right w:val="single" w:sz="4" w:space="0" w:color="auto"/>
            </w:tcBorders>
          </w:tcPr>
          <w:p w14:paraId="2478D06C" w14:textId="77777777" w:rsidR="00297869" w:rsidRDefault="00297869" w:rsidP="00534237">
            <w:pPr>
              <w:jc w:val="center"/>
              <w:rPr>
                <w:sz w:val="20"/>
                <w:szCs w:val="20"/>
              </w:rPr>
            </w:pPr>
          </w:p>
          <w:p w14:paraId="430ABCE0" w14:textId="77777777" w:rsidR="00773284" w:rsidRDefault="00773284" w:rsidP="00534237">
            <w:pPr>
              <w:jc w:val="center"/>
              <w:rPr>
                <w:sz w:val="20"/>
                <w:szCs w:val="20"/>
              </w:rPr>
            </w:pPr>
          </w:p>
          <w:p w14:paraId="328390DC" w14:textId="1FBEAE4D" w:rsidR="00773284" w:rsidRDefault="00773284" w:rsidP="00534237">
            <w:pPr>
              <w:jc w:val="center"/>
              <w:rPr>
                <w:sz w:val="20"/>
                <w:szCs w:val="20"/>
              </w:rPr>
            </w:pPr>
            <w:r>
              <w:rPr>
                <w:sz w:val="20"/>
                <w:szCs w:val="20"/>
              </w:rPr>
              <w:t>3.592,53</w:t>
            </w:r>
          </w:p>
          <w:p w14:paraId="4606D095" w14:textId="77777777" w:rsidR="00773284" w:rsidRDefault="00773284" w:rsidP="00534237">
            <w:pPr>
              <w:jc w:val="center"/>
              <w:rPr>
                <w:sz w:val="20"/>
                <w:szCs w:val="20"/>
              </w:rPr>
            </w:pPr>
            <w:r>
              <w:rPr>
                <w:sz w:val="20"/>
                <w:szCs w:val="20"/>
              </w:rPr>
              <w:t>16.268,38</w:t>
            </w:r>
          </w:p>
          <w:p w14:paraId="60435F47" w14:textId="77777777" w:rsidR="00773284" w:rsidRDefault="00773284" w:rsidP="00534237">
            <w:pPr>
              <w:jc w:val="center"/>
              <w:rPr>
                <w:sz w:val="20"/>
                <w:szCs w:val="20"/>
              </w:rPr>
            </w:pPr>
          </w:p>
          <w:p w14:paraId="58598AF9" w14:textId="6541574B" w:rsidR="00773284" w:rsidRDefault="00773284" w:rsidP="00534237">
            <w:pPr>
              <w:jc w:val="center"/>
              <w:rPr>
                <w:sz w:val="20"/>
                <w:szCs w:val="20"/>
              </w:rPr>
            </w:pPr>
            <w:r>
              <w:rPr>
                <w:sz w:val="20"/>
                <w:szCs w:val="20"/>
              </w:rPr>
              <w:t>58.900,12</w:t>
            </w:r>
          </w:p>
        </w:tc>
      </w:tr>
      <w:tr w:rsidR="00297869" w:rsidRPr="00B03E48" w14:paraId="475E22CE" w14:textId="7E35574F" w:rsidTr="00666F62">
        <w:trPr>
          <w:cantSplit/>
          <w:jc w:val="center"/>
        </w:trPr>
        <w:tc>
          <w:tcPr>
            <w:tcW w:w="3979" w:type="dxa"/>
            <w:tcBorders>
              <w:top w:val="single" w:sz="4" w:space="0" w:color="auto"/>
              <w:left w:val="single" w:sz="4" w:space="0" w:color="auto"/>
              <w:bottom w:val="single" w:sz="4" w:space="0" w:color="auto"/>
              <w:right w:val="single" w:sz="4" w:space="0" w:color="auto"/>
            </w:tcBorders>
          </w:tcPr>
          <w:p w14:paraId="61F44C07" w14:textId="77777777" w:rsidR="00297869" w:rsidRPr="00B03E48" w:rsidRDefault="00297869" w:rsidP="00113660">
            <w:pPr>
              <w:pStyle w:val="Tabladeilustraciones"/>
              <w:keepNext/>
              <w:jc w:val="right"/>
              <w:rPr>
                <w:b/>
              </w:rPr>
            </w:pPr>
            <w:r w:rsidRPr="00B03E48">
              <w:rPr>
                <w:b/>
              </w:rPr>
              <w:t xml:space="preserve">Total </w:t>
            </w:r>
          </w:p>
        </w:tc>
        <w:tc>
          <w:tcPr>
            <w:tcW w:w="1260" w:type="dxa"/>
            <w:tcBorders>
              <w:top w:val="single" w:sz="4" w:space="0" w:color="auto"/>
              <w:left w:val="single" w:sz="4" w:space="0" w:color="auto"/>
              <w:bottom w:val="single" w:sz="4" w:space="0" w:color="auto"/>
              <w:right w:val="single" w:sz="4" w:space="0" w:color="auto"/>
            </w:tcBorders>
          </w:tcPr>
          <w:p w14:paraId="0B35682A" w14:textId="668DA564" w:rsidR="00297869" w:rsidRDefault="00297869" w:rsidP="00534237">
            <w:pPr>
              <w:pStyle w:val="Tabladeilustraciones"/>
              <w:keepNext/>
              <w:jc w:val="center"/>
              <w:rPr>
                <w:b/>
              </w:rPr>
            </w:pPr>
            <w:r>
              <w:rPr>
                <w:b/>
              </w:rPr>
              <w:t>204.042,10</w:t>
            </w:r>
          </w:p>
        </w:tc>
        <w:tc>
          <w:tcPr>
            <w:tcW w:w="1260" w:type="dxa"/>
            <w:tcBorders>
              <w:top w:val="single" w:sz="4" w:space="0" w:color="auto"/>
              <w:left w:val="single" w:sz="4" w:space="0" w:color="auto"/>
              <w:bottom w:val="single" w:sz="4" w:space="0" w:color="auto"/>
              <w:right w:val="single" w:sz="4" w:space="0" w:color="auto"/>
            </w:tcBorders>
          </w:tcPr>
          <w:p w14:paraId="5F635E45" w14:textId="163CEEBB" w:rsidR="00297869" w:rsidRDefault="00773284" w:rsidP="00534237">
            <w:pPr>
              <w:pStyle w:val="Tabladeilustraciones"/>
              <w:keepNext/>
              <w:jc w:val="center"/>
              <w:rPr>
                <w:b/>
              </w:rPr>
            </w:pPr>
            <w:r>
              <w:rPr>
                <w:b/>
              </w:rPr>
              <w:t>78.761,03</w:t>
            </w:r>
          </w:p>
        </w:tc>
      </w:tr>
    </w:tbl>
    <w:p w14:paraId="016A0EC8" w14:textId="630EDFBE" w:rsidR="00DE6AA1" w:rsidRDefault="00DE6AA1" w:rsidP="005868CA">
      <w:pPr>
        <w:jc w:val="both"/>
        <w:rPr>
          <w:color w:val="FF0000"/>
          <w:szCs w:val="24"/>
        </w:rPr>
      </w:pPr>
    </w:p>
    <w:p w14:paraId="56AC9AB5" w14:textId="77777777" w:rsidR="00A36F5C" w:rsidRPr="004C6B59" w:rsidRDefault="00A36F5C" w:rsidP="005868CA">
      <w:pPr>
        <w:jc w:val="both"/>
        <w:rPr>
          <w:color w:val="C00000"/>
          <w:szCs w:val="24"/>
        </w:rPr>
      </w:pPr>
    </w:p>
    <w:p w14:paraId="2BAC6D65" w14:textId="77777777" w:rsidR="00FE63B3" w:rsidRPr="00A95B07" w:rsidRDefault="00FE63B3" w:rsidP="00FE63B3">
      <w:pPr>
        <w:tabs>
          <w:tab w:val="left" w:pos="567"/>
        </w:tabs>
        <w:jc w:val="both"/>
        <w:rPr>
          <w:szCs w:val="24"/>
        </w:rPr>
      </w:pPr>
      <w:r w:rsidRPr="00A95B07">
        <w:rPr>
          <w:b/>
          <w:i/>
          <w:szCs w:val="24"/>
        </w:rPr>
        <w:t>-Aprovisionamientos</w:t>
      </w:r>
    </w:p>
    <w:p w14:paraId="10ED81E7" w14:textId="77777777" w:rsidR="00FE63B3" w:rsidRPr="00A95B07" w:rsidRDefault="00FE63B3" w:rsidP="00FE63B3">
      <w:pPr>
        <w:jc w:val="both"/>
        <w:rPr>
          <w:szCs w:val="24"/>
        </w:rPr>
      </w:pPr>
    </w:p>
    <w:p w14:paraId="06A15223" w14:textId="34DE12E0" w:rsidR="005A7A0E" w:rsidRDefault="00FE63B3" w:rsidP="00FE63B3">
      <w:pPr>
        <w:jc w:val="both"/>
        <w:rPr>
          <w:szCs w:val="24"/>
        </w:rPr>
      </w:pPr>
      <w:r w:rsidRPr="00A95B07">
        <w:rPr>
          <w:szCs w:val="24"/>
        </w:rPr>
        <w:t xml:space="preserve">El saldo de las cuentas “Consumo de mercaderías” </w:t>
      </w:r>
      <w:r w:rsidR="00E303F2">
        <w:rPr>
          <w:szCs w:val="24"/>
        </w:rPr>
        <w:t>del ejercicio 20</w:t>
      </w:r>
      <w:r w:rsidR="00297869">
        <w:rPr>
          <w:szCs w:val="24"/>
        </w:rPr>
        <w:t>20</w:t>
      </w:r>
      <w:r w:rsidRPr="00A95B07">
        <w:rPr>
          <w:szCs w:val="24"/>
        </w:rPr>
        <w:t xml:space="preserve"> presenta la siguiente composición:</w:t>
      </w:r>
    </w:p>
    <w:p w14:paraId="180064AF" w14:textId="77777777" w:rsidR="00A36F5C" w:rsidRPr="00A95B07" w:rsidRDefault="00A36F5C" w:rsidP="00FE63B3">
      <w:pPr>
        <w:jc w:val="both"/>
        <w:rPr>
          <w:szCs w:val="24"/>
        </w:rPr>
      </w:pPr>
    </w:p>
    <w:tbl>
      <w:tblPr>
        <w:tblW w:w="0" w:type="auto"/>
        <w:jc w:val="center"/>
        <w:tblLayout w:type="fixed"/>
        <w:tblCellMar>
          <w:left w:w="42" w:type="dxa"/>
          <w:right w:w="42" w:type="dxa"/>
        </w:tblCellMar>
        <w:tblLook w:val="0000" w:firstRow="0" w:lastRow="0" w:firstColumn="0" w:lastColumn="0" w:noHBand="0" w:noVBand="0"/>
      </w:tblPr>
      <w:tblGrid>
        <w:gridCol w:w="3344"/>
        <w:gridCol w:w="1210"/>
        <w:gridCol w:w="1210"/>
      </w:tblGrid>
      <w:tr w:rsidR="00297869" w:rsidRPr="00A95B07" w14:paraId="3D0E7DD4" w14:textId="2EBA8055" w:rsidTr="00E45781">
        <w:trPr>
          <w:cantSplit/>
          <w:trHeight w:val="170"/>
          <w:jc w:val="center"/>
        </w:trPr>
        <w:tc>
          <w:tcPr>
            <w:tcW w:w="3344" w:type="dxa"/>
            <w:tcBorders>
              <w:top w:val="single" w:sz="4" w:space="0" w:color="auto"/>
              <w:left w:val="single" w:sz="4" w:space="0" w:color="auto"/>
              <w:bottom w:val="single" w:sz="4" w:space="0" w:color="auto"/>
              <w:right w:val="single" w:sz="4" w:space="0" w:color="auto"/>
            </w:tcBorders>
          </w:tcPr>
          <w:p w14:paraId="75D8C70D" w14:textId="77777777" w:rsidR="00297869" w:rsidRPr="00A95B07" w:rsidRDefault="00297869" w:rsidP="00E303F2">
            <w:pPr>
              <w:pStyle w:val="Tabladeilustraciones"/>
              <w:keepNext/>
              <w:jc w:val="center"/>
              <w:rPr>
                <w:b/>
              </w:rPr>
            </w:pPr>
          </w:p>
        </w:tc>
        <w:tc>
          <w:tcPr>
            <w:tcW w:w="1210" w:type="dxa"/>
            <w:tcBorders>
              <w:top w:val="single" w:sz="4" w:space="0" w:color="auto"/>
              <w:left w:val="single" w:sz="4" w:space="0" w:color="auto"/>
              <w:bottom w:val="single" w:sz="4" w:space="0" w:color="auto"/>
              <w:right w:val="single" w:sz="4" w:space="0" w:color="auto"/>
            </w:tcBorders>
          </w:tcPr>
          <w:p w14:paraId="4FD8354A" w14:textId="79C96F8C" w:rsidR="00297869" w:rsidRDefault="00297869" w:rsidP="00BC7C4B">
            <w:pPr>
              <w:pStyle w:val="Tabladeilustraciones"/>
              <w:keepNext/>
              <w:jc w:val="center"/>
            </w:pPr>
            <w:r>
              <w:t>2019</w:t>
            </w:r>
          </w:p>
        </w:tc>
        <w:tc>
          <w:tcPr>
            <w:tcW w:w="1210" w:type="dxa"/>
            <w:tcBorders>
              <w:top w:val="single" w:sz="4" w:space="0" w:color="auto"/>
              <w:left w:val="single" w:sz="4" w:space="0" w:color="auto"/>
              <w:bottom w:val="single" w:sz="4" w:space="0" w:color="auto"/>
              <w:right w:val="single" w:sz="4" w:space="0" w:color="auto"/>
            </w:tcBorders>
          </w:tcPr>
          <w:p w14:paraId="43DA1299" w14:textId="32D76392" w:rsidR="00297869" w:rsidRPr="00297869" w:rsidRDefault="00297869" w:rsidP="00297869">
            <w:pPr>
              <w:pStyle w:val="Tabladeilustraciones"/>
              <w:keepNext/>
              <w:jc w:val="center"/>
            </w:pPr>
            <w:r>
              <w:t>2020</w:t>
            </w:r>
          </w:p>
        </w:tc>
      </w:tr>
      <w:tr w:rsidR="00297869" w:rsidRPr="00A95B07" w14:paraId="3719C834" w14:textId="200849A1" w:rsidTr="00E45781">
        <w:trPr>
          <w:cantSplit/>
          <w:jc w:val="center"/>
        </w:trPr>
        <w:tc>
          <w:tcPr>
            <w:tcW w:w="3344" w:type="dxa"/>
            <w:tcBorders>
              <w:top w:val="single" w:sz="4" w:space="0" w:color="auto"/>
              <w:left w:val="single" w:sz="4" w:space="0" w:color="auto"/>
              <w:bottom w:val="single" w:sz="4" w:space="0" w:color="auto"/>
              <w:right w:val="single" w:sz="4" w:space="0" w:color="auto"/>
            </w:tcBorders>
          </w:tcPr>
          <w:p w14:paraId="6FFE1018" w14:textId="77777777" w:rsidR="00297869" w:rsidRPr="00A95B07" w:rsidRDefault="00297869" w:rsidP="00E303F2">
            <w:pPr>
              <w:rPr>
                <w:b/>
                <w:sz w:val="20"/>
                <w:szCs w:val="20"/>
              </w:rPr>
            </w:pPr>
          </w:p>
          <w:p w14:paraId="00BC6002" w14:textId="77777777" w:rsidR="00297869" w:rsidRPr="00A95B07" w:rsidRDefault="00297869" w:rsidP="00E303F2">
            <w:pPr>
              <w:rPr>
                <w:sz w:val="20"/>
                <w:szCs w:val="20"/>
              </w:rPr>
            </w:pPr>
            <w:r w:rsidRPr="00A95B07">
              <w:rPr>
                <w:sz w:val="20"/>
                <w:szCs w:val="20"/>
              </w:rPr>
              <w:t xml:space="preserve">  Compras</w:t>
            </w:r>
          </w:p>
          <w:p w14:paraId="55BBE6CC" w14:textId="77777777" w:rsidR="00297869" w:rsidRPr="00A95B07" w:rsidRDefault="00297869" w:rsidP="00E303F2">
            <w:pPr>
              <w:rPr>
                <w:sz w:val="20"/>
                <w:szCs w:val="20"/>
              </w:rPr>
            </w:pPr>
            <w:r w:rsidRPr="00A95B07">
              <w:rPr>
                <w:sz w:val="20"/>
                <w:szCs w:val="20"/>
              </w:rPr>
              <w:t xml:space="preserve">  Trabajos realizados por otras empresas</w:t>
            </w:r>
          </w:p>
          <w:p w14:paraId="2491F12F" w14:textId="77777777" w:rsidR="00297869" w:rsidRPr="00A95B07" w:rsidRDefault="00297869" w:rsidP="00E303F2">
            <w:pPr>
              <w:rPr>
                <w:sz w:val="20"/>
                <w:szCs w:val="20"/>
              </w:rPr>
            </w:pPr>
            <w:r w:rsidRPr="00A95B07">
              <w:rPr>
                <w:b/>
                <w:sz w:val="20"/>
                <w:szCs w:val="20"/>
              </w:rPr>
              <w:t xml:space="preserve">  </w:t>
            </w:r>
            <w:r w:rsidRPr="00A95B07">
              <w:rPr>
                <w:sz w:val="20"/>
                <w:szCs w:val="20"/>
              </w:rPr>
              <w:t>Variación de existencias</w:t>
            </w:r>
          </w:p>
          <w:p w14:paraId="0DDE6B8C" w14:textId="77777777" w:rsidR="00297869" w:rsidRPr="00A95B07" w:rsidRDefault="00297869" w:rsidP="00E303F2">
            <w:pPr>
              <w:rPr>
                <w:sz w:val="20"/>
                <w:szCs w:val="20"/>
              </w:rPr>
            </w:pPr>
            <w:r>
              <w:rPr>
                <w:sz w:val="20"/>
                <w:szCs w:val="20"/>
              </w:rPr>
              <w:t xml:space="preserve">  Compras de otros aprovisionamientos</w:t>
            </w:r>
          </w:p>
        </w:tc>
        <w:tc>
          <w:tcPr>
            <w:tcW w:w="1210" w:type="dxa"/>
            <w:tcBorders>
              <w:top w:val="single" w:sz="4" w:space="0" w:color="auto"/>
              <w:left w:val="single" w:sz="4" w:space="0" w:color="auto"/>
              <w:bottom w:val="single" w:sz="4" w:space="0" w:color="auto"/>
              <w:right w:val="single" w:sz="4" w:space="0" w:color="auto"/>
            </w:tcBorders>
          </w:tcPr>
          <w:p w14:paraId="17EA1CFA" w14:textId="77777777" w:rsidR="00297869" w:rsidRDefault="00297869" w:rsidP="00E303F2">
            <w:pPr>
              <w:jc w:val="center"/>
              <w:rPr>
                <w:sz w:val="20"/>
                <w:szCs w:val="20"/>
              </w:rPr>
            </w:pPr>
          </w:p>
          <w:p w14:paraId="2A9C8D13" w14:textId="77777777" w:rsidR="00297869" w:rsidRDefault="00297869" w:rsidP="00E303F2">
            <w:pPr>
              <w:jc w:val="center"/>
              <w:rPr>
                <w:sz w:val="20"/>
                <w:szCs w:val="20"/>
              </w:rPr>
            </w:pPr>
            <w:r>
              <w:rPr>
                <w:sz w:val="20"/>
                <w:szCs w:val="20"/>
              </w:rPr>
              <w:t>698.471,12</w:t>
            </w:r>
          </w:p>
          <w:p w14:paraId="3A1C4775" w14:textId="77777777" w:rsidR="00297869" w:rsidRDefault="00297869" w:rsidP="00E303F2">
            <w:pPr>
              <w:jc w:val="center"/>
              <w:rPr>
                <w:sz w:val="20"/>
                <w:szCs w:val="20"/>
              </w:rPr>
            </w:pPr>
            <w:r>
              <w:rPr>
                <w:sz w:val="20"/>
                <w:szCs w:val="20"/>
              </w:rPr>
              <w:t>10.686,36</w:t>
            </w:r>
          </w:p>
          <w:p w14:paraId="0930EEB8" w14:textId="77777777" w:rsidR="00297869" w:rsidRDefault="00297869" w:rsidP="00E303F2">
            <w:pPr>
              <w:jc w:val="center"/>
              <w:rPr>
                <w:sz w:val="20"/>
                <w:szCs w:val="20"/>
              </w:rPr>
            </w:pPr>
            <w:r>
              <w:rPr>
                <w:sz w:val="20"/>
                <w:szCs w:val="20"/>
              </w:rPr>
              <w:t>-878.6</w:t>
            </w:r>
          </w:p>
          <w:p w14:paraId="59BF6A80" w14:textId="27FD99AC" w:rsidR="00297869" w:rsidRDefault="00297869" w:rsidP="00E303F2">
            <w:pPr>
              <w:jc w:val="center"/>
              <w:rPr>
                <w:sz w:val="20"/>
                <w:szCs w:val="20"/>
              </w:rPr>
            </w:pPr>
            <w:r>
              <w:rPr>
                <w:sz w:val="20"/>
                <w:szCs w:val="20"/>
              </w:rPr>
              <w:t>46.276,76</w:t>
            </w:r>
          </w:p>
        </w:tc>
        <w:tc>
          <w:tcPr>
            <w:tcW w:w="1210" w:type="dxa"/>
            <w:tcBorders>
              <w:top w:val="single" w:sz="4" w:space="0" w:color="auto"/>
              <w:left w:val="single" w:sz="4" w:space="0" w:color="auto"/>
              <w:bottom w:val="single" w:sz="4" w:space="0" w:color="auto"/>
              <w:right w:val="single" w:sz="4" w:space="0" w:color="auto"/>
            </w:tcBorders>
          </w:tcPr>
          <w:p w14:paraId="7C4A1207" w14:textId="77777777" w:rsidR="00297869" w:rsidRDefault="00297869" w:rsidP="00E303F2">
            <w:pPr>
              <w:jc w:val="center"/>
              <w:rPr>
                <w:sz w:val="20"/>
                <w:szCs w:val="20"/>
              </w:rPr>
            </w:pPr>
          </w:p>
          <w:p w14:paraId="38C8ABC6" w14:textId="1CCF83E4" w:rsidR="004060BF" w:rsidRDefault="004060BF" w:rsidP="00E303F2">
            <w:pPr>
              <w:jc w:val="center"/>
              <w:rPr>
                <w:sz w:val="20"/>
                <w:szCs w:val="20"/>
              </w:rPr>
            </w:pPr>
            <w:r>
              <w:rPr>
                <w:sz w:val="20"/>
                <w:szCs w:val="20"/>
              </w:rPr>
              <w:t>211.277,05</w:t>
            </w:r>
          </w:p>
          <w:p w14:paraId="264D030A" w14:textId="737A4D07" w:rsidR="004060BF" w:rsidRDefault="004060BF" w:rsidP="004060BF">
            <w:pPr>
              <w:jc w:val="center"/>
              <w:rPr>
                <w:sz w:val="20"/>
                <w:szCs w:val="20"/>
              </w:rPr>
            </w:pPr>
            <w:r>
              <w:rPr>
                <w:sz w:val="20"/>
                <w:szCs w:val="20"/>
              </w:rPr>
              <w:t>9.768,71</w:t>
            </w:r>
          </w:p>
          <w:p w14:paraId="71356818" w14:textId="685B44CA" w:rsidR="004060BF" w:rsidRDefault="004060BF" w:rsidP="004060BF">
            <w:pPr>
              <w:jc w:val="center"/>
              <w:rPr>
                <w:sz w:val="20"/>
                <w:szCs w:val="20"/>
              </w:rPr>
            </w:pPr>
            <w:r>
              <w:rPr>
                <w:sz w:val="20"/>
                <w:szCs w:val="20"/>
              </w:rPr>
              <w:t>21.232,61</w:t>
            </w:r>
          </w:p>
          <w:p w14:paraId="78FD7B5A" w14:textId="70C68028" w:rsidR="004060BF" w:rsidRDefault="004060BF" w:rsidP="00E303F2">
            <w:pPr>
              <w:jc w:val="center"/>
              <w:rPr>
                <w:sz w:val="20"/>
                <w:szCs w:val="20"/>
              </w:rPr>
            </w:pPr>
            <w:r>
              <w:rPr>
                <w:sz w:val="20"/>
                <w:szCs w:val="20"/>
              </w:rPr>
              <w:t>23.470,08</w:t>
            </w:r>
          </w:p>
        </w:tc>
      </w:tr>
      <w:tr w:rsidR="00297869" w:rsidRPr="00A95B07" w14:paraId="76089500" w14:textId="2F72320B" w:rsidTr="00E45781">
        <w:trPr>
          <w:cantSplit/>
          <w:jc w:val="center"/>
        </w:trPr>
        <w:tc>
          <w:tcPr>
            <w:tcW w:w="3344" w:type="dxa"/>
            <w:tcBorders>
              <w:top w:val="single" w:sz="4" w:space="0" w:color="auto"/>
              <w:left w:val="single" w:sz="4" w:space="0" w:color="auto"/>
              <w:bottom w:val="single" w:sz="4" w:space="0" w:color="auto"/>
              <w:right w:val="single" w:sz="4" w:space="0" w:color="auto"/>
            </w:tcBorders>
          </w:tcPr>
          <w:p w14:paraId="05C07DD8" w14:textId="77777777" w:rsidR="00297869" w:rsidRPr="00A95B07" w:rsidRDefault="00297869" w:rsidP="00E303F2">
            <w:pPr>
              <w:pStyle w:val="Tabladeilustraciones"/>
              <w:keepNext/>
              <w:jc w:val="right"/>
              <w:rPr>
                <w:b/>
              </w:rPr>
            </w:pPr>
            <w:r w:rsidRPr="00A95B07">
              <w:rPr>
                <w:b/>
              </w:rPr>
              <w:t xml:space="preserve">Total </w:t>
            </w:r>
          </w:p>
        </w:tc>
        <w:tc>
          <w:tcPr>
            <w:tcW w:w="1210" w:type="dxa"/>
            <w:tcBorders>
              <w:top w:val="single" w:sz="4" w:space="0" w:color="auto"/>
              <w:left w:val="single" w:sz="4" w:space="0" w:color="auto"/>
              <w:bottom w:val="single" w:sz="4" w:space="0" w:color="auto"/>
              <w:right w:val="single" w:sz="4" w:space="0" w:color="auto"/>
            </w:tcBorders>
          </w:tcPr>
          <w:p w14:paraId="64B336BF" w14:textId="5790F45B" w:rsidR="00297869" w:rsidRDefault="00297869" w:rsidP="00E303F2">
            <w:pPr>
              <w:pStyle w:val="Tabladeilustraciones"/>
              <w:keepNext/>
              <w:jc w:val="center"/>
              <w:rPr>
                <w:b/>
              </w:rPr>
            </w:pPr>
            <w:r>
              <w:rPr>
                <w:b/>
              </w:rPr>
              <w:t>754.555,64</w:t>
            </w:r>
          </w:p>
        </w:tc>
        <w:tc>
          <w:tcPr>
            <w:tcW w:w="1210" w:type="dxa"/>
            <w:tcBorders>
              <w:top w:val="single" w:sz="4" w:space="0" w:color="auto"/>
              <w:left w:val="single" w:sz="4" w:space="0" w:color="auto"/>
              <w:bottom w:val="single" w:sz="4" w:space="0" w:color="auto"/>
              <w:right w:val="single" w:sz="4" w:space="0" w:color="auto"/>
            </w:tcBorders>
          </w:tcPr>
          <w:p w14:paraId="4AF69DB2" w14:textId="7182EAF5" w:rsidR="00297869" w:rsidRDefault="004060BF" w:rsidP="00E303F2">
            <w:pPr>
              <w:pStyle w:val="Tabladeilustraciones"/>
              <w:keepNext/>
              <w:jc w:val="center"/>
              <w:rPr>
                <w:b/>
              </w:rPr>
            </w:pPr>
            <w:r>
              <w:rPr>
                <w:b/>
              </w:rPr>
              <w:t>265.748,45</w:t>
            </w:r>
          </w:p>
        </w:tc>
      </w:tr>
    </w:tbl>
    <w:p w14:paraId="424926F9" w14:textId="77777777" w:rsidR="00BF117A" w:rsidRDefault="00BF117A" w:rsidP="002373EA">
      <w:pPr>
        <w:rPr>
          <w:b/>
          <w:bCs/>
          <w:color w:val="C00000"/>
          <w:szCs w:val="24"/>
          <w:u w:val="single"/>
          <w:lang w:val="es-ES_tradnl"/>
        </w:rPr>
      </w:pPr>
    </w:p>
    <w:p w14:paraId="0B68EF9C" w14:textId="6F384154" w:rsidR="00BF117A" w:rsidRDefault="00BF117A" w:rsidP="002373EA">
      <w:pPr>
        <w:rPr>
          <w:b/>
          <w:bCs/>
          <w:szCs w:val="24"/>
          <w:u w:val="single"/>
          <w:lang w:val="es-ES_tradnl"/>
        </w:rPr>
      </w:pPr>
    </w:p>
    <w:p w14:paraId="5C2F32BE" w14:textId="19BA8D59" w:rsidR="00A77C4F" w:rsidRDefault="00A77C4F" w:rsidP="002373EA">
      <w:pPr>
        <w:rPr>
          <w:b/>
          <w:bCs/>
          <w:szCs w:val="24"/>
          <w:u w:val="single"/>
          <w:lang w:val="es-ES_tradnl"/>
        </w:rPr>
      </w:pPr>
    </w:p>
    <w:p w14:paraId="24CD5F82" w14:textId="75D5BF56" w:rsidR="00A77C4F" w:rsidRDefault="00A77C4F" w:rsidP="002373EA">
      <w:pPr>
        <w:rPr>
          <w:b/>
          <w:bCs/>
          <w:szCs w:val="24"/>
          <w:u w:val="single"/>
          <w:lang w:val="es-ES_tradnl"/>
        </w:rPr>
      </w:pPr>
    </w:p>
    <w:p w14:paraId="241A4087" w14:textId="1E2A3F4E" w:rsidR="00A77C4F" w:rsidRDefault="00A77C4F" w:rsidP="002373EA">
      <w:pPr>
        <w:rPr>
          <w:b/>
          <w:bCs/>
          <w:szCs w:val="24"/>
          <w:u w:val="single"/>
          <w:lang w:val="es-ES_tradnl"/>
        </w:rPr>
      </w:pPr>
    </w:p>
    <w:p w14:paraId="55CB5905" w14:textId="7522EBCE" w:rsidR="00A77C4F" w:rsidRDefault="00A77C4F" w:rsidP="002373EA">
      <w:pPr>
        <w:rPr>
          <w:b/>
          <w:bCs/>
          <w:szCs w:val="24"/>
          <w:u w:val="single"/>
          <w:lang w:val="es-ES_tradnl"/>
        </w:rPr>
      </w:pPr>
    </w:p>
    <w:p w14:paraId="57BD399E" w14:textId="77777777" w:rsidR="00A77C4F" w:rsidRDefault="00A77C4F" w:rsidP="002373EA">
      <w:pPr>
        <w:rPr>
          <w:b/>
          <w:bCs/>
          <w:szCs w:val="24"/>
          <w:u w:val="single"/>
          <w:lang w:val="es-ES_tradnl"/>
        </w:rPr>
      </w:pPr>
    </w:p>
    <w:p w14:paraId="53BCDC48" w14:textId="77777777" w:rsidR="002373EA" w:rsidRPr="00897D45" w:rsidRDefault="00BF117A" w:rsidP="002373EA">
      <w:pPr>
        <w:rPr>
          <w:b/>
          <w:bCs/>
          <w:sz w:val="28"/>
          <w:szCs w:val="28"/>
          <w:lang w:val="es-ES_tradnl"/>
        </w:rPr>
      </w:pPr>
      <w:r>
        <w:rPr>
          <w:b/>
          <w:bCs/>
          <w:szCs w:val="24"/>
          <w:u w:val="single"/>
          <w:lang w:val="es-ES_tradnl"/>
        </w:rPr>
        <w:t>9</w:t>
      </w:r>
      <w:r w:rsidR="002373EA" w:rsidRPr="00897D45">
        <w:rPr>
          <w:b/>
          <w:bCs/>
          <w:szCs w:val="24"/>
          <w:u w:val="single"/>
          <w:lang w:val="es-ES_tradnl"/>
        </w:rPr>
        <w:t xml:space="preserve">.- </w:t>
      </w:r>
      <w:r w:rsidR="00852805" w:rsidRPr="00897D45">
        <w:rPr>
          <w:b/>
          <w:bCs/>
          <w:szCs w:val="24"/>
          <w:u w:val="single"/>
          <w:lang w:val="es-ES_tradnl"/>
        </w:rPr>
        <w:t xml:space="preserve">  </w:t>
      </w:r>
      <w:r w:rsidR="002373EA" w:rsidRPr="00897D45">
        <w:rPr>
          <w:b/>
          <w:bCs/>
          <w:szCs w:val="24"/>
          <w:u w:val="single"/>
          <w:lang w:val="es-ES_tradnl"/>
        </w:rPr>
        <w:t xml:space="preserve">Subvenciones, Donaciones y Legados </w:t>
      </w:r>
    </w:p>
    <w:p w14:paraId="0F5BA13B" w14:textId="77777777" w:rsidR="002373EA" w:rsidRPr="00897D45" w:rsidRDefault="002373EA" w:rsidP="002373EA">
      <w:pPr>
        <w:pStyle w:val="Prrafodelista"/>
        <w:ind w:left="360"/>
        <w:contextualSpacing w:val="0"/>
        <w:rPr>
          <w:lang w:val="es-ES_tradnl"/>
        </w:rPr>
      </w:pPr>
    </w:p>
    <w:p w14:paraId="41D9075E" w14:textId="6AB50A6F" w:rsidR="006906A8" w:rsidRDefault="004060BF" w:rsidP="005A7A0E">
      <w:pPr>
        <w:pStyle w:val="Prrafodelista"/>
        <w:ind w:left="0"/>
        <w:contextualSpacing w:val="0"/>
        <w:jc w:val="both"/>
        <w:rPr>
          <w:lang w:val="es-ES_tradnl"/>
        </w:rPr>
      </w:pPr>
      <w:bookmarkStart w:id="5" w:name="_Hlk76827664"/>
      <w:r>
        <w:rPr>
          <w:lang w:val="es-ES_tradnl"/>
        </w:rPr>
        <w:t xml:space="preserve">En el ejercicio 2020, por situación provocada a consecuencia del COVID-19, esta empresa ha tramitado la solitud de expedientes de regulación de empleo, ERTES, habiéndose beneficiado de una exoneración en los seguros sociales del importe de </w:t>
      </w:r>
      <w:r w:rsidR="00EE3BE4" w:rsidRPr="00EE3BE4">
        <w:rPr>
          <w:lang w:val="es-ES_tradnl"/>
        </w:rPr>
        <w:t>56.753,56</w:t>
      </w:r>
      <w:r w:rsidRPr="00EE3BE4">
        <w:rPr>
          <w:lang w:val="es-ES_tradnl"/>
        </w:rPr>
        <w:t>€</w:t>
      </w:r>
    </w:p>
    <w:bookmarkEnd w:id="5"/>
    <w:p w14:paraId="1760AC1B" w14:textId="1260B3D2" w:rsidR="006906A8" w:rsidRDefault="006906A8" w:rsidP="005A7A0E">
      <w:pPr>
        <w:pStyle w:val="Prrafodelista"/>
        <w:ind w:left="0"/>
        <w:contextualSpacing w:val="0"/>
        <w:jc w:val="both"/>
        <w:rPr>
          <w:lang w:val="es-ES_tradnl"/>
        </w:rPr>
      </w:pPr>
    </w:p>
    <w:p w14:paraId="22DF383D" w14:textId="77777777" w:rsidR="00C02497" w:rsidRPr="005A7A0E" w:rsidRDefault="00C02497" w:rsidP="005A7A0E">
      <w:pPr>
        <w:pStyle w:val="Prrafodelista"/>
        <w:ind w:left="0"/>
        <w:contextualSpacing w:val="0"/>
        <w:jc w:val="both"/>
        <w:rPr>
          <w:lang w:val="es-ES_tradnl"/>
        </w:rPr>
      </w:pPr>
    </w:p>
    <w:p w14:paraId="5CE5F5E6" w14:textId="77777777" w:rsidR="002373EA" w:rsidRPr="00897D45" w:rsidRDefault="00BF117A" w:rsidP="002373EA">
      <w:pPr>
        <w:tabs>
          <w:tab w:val="left" w:pos="567"/>
        </w:tabs>
        <w:rPr>
          <w:b/>
          <w:bCs/>
          <w:u w:val="single"/>
        </w:rPr>
      </w:pPr>
      <w:r>
        <w:rPr>
          <w:b/>
          <w:bCs/>
          <w:u w:val="single"/>
          <w:lang w:val="es-ES_tradnl"/>
        </w:rPr>
        <w:t>10</w:t>
      </w:r>
      <w:r w:rsidR="002373EA" w:rsidRPr="00897D45">
        <w:rPr>
          <w:b/>
          <w:bCs/>
          <w:u w:val="single"/>
          <w:lang w:val="es-ES_tradnl"/>
        </w:rPr>
        <w:t xml:space="preserve">.- </w:t>
      </w:r>
      <w:r w:rsidR="002373EA" w:rsidRPr="00897D45">
        <w:rPr>
          <w:b/>
          <w:bCs/>
          <w:u w:val="single"/>
        </w:rPr>
        <w:t>Retribuciones a  los Administradores, a la alta dirección y otra información</w:t>
      </w:r>
    </w:p>
    <w:p w14:paraId="7D17644C" w14:textId="77777777" w:rsidR="002373EA" w:rsidRPr="00897D45" w:rsidRDefault="002373EA" w:rsidP="002373EA"/>
    <w:p w14:paraId="056FBF75" w14:textId="1220A33E" w:rsidR="002373EA" w:rsidRPr="00897D45" w:rsidRDefault="002373EA" w:rsidP="002373EA">
      <w:pPr>
        <w:pStyle w:val="Prrafodelista"/>
        <w:ind w:left="0"/>
        <w:contextualSpacing w:val="0"/>
        <w:jc w:val="both"/>
        <w:rPr>
          <w:lang w:val="es-ES"/>
        </w:rPr>
      </w:pPr>
      <w:r w:rsidRPr="00897D45">
        <w:rPr>
          <w:lang w:val="es-ES"/>
        </w:rPr>
        <w:t>No se han devengado retribu</w:t>
      </w:r>
      <w:r w:rsidR="0054237E">
        <w:rPr>
          <w:lang w:val="es-ES"/>
        </w:rPr>
        <w:t>ciones durante el ejercicio 20</w:t>
      </w:r>
      <w:r w:rsidR="00297869">
        <w:rPr>
          <w:lang w:val="es-ES"/>
        </w:rPr>
        <w:t>20</w:t>
      </w:r>
      <w:r w:rsidR="005161B7">
        <w:rPr>
          <w:lang w:val="es-ES"/>
        </w:rPr>
        <w:t xml:space="preserve"> por </w:t>
      </w:r>
      <w:r w:rsidRPr="00897D45">
        <w:rPr>
          <w:lang w:val="es-ES"/>
        </w:rPr>
        <w:t>los servicios prestados por los Administradores de la Compañía.</w:t>
      </w:r>
    </w:p>
    <w:p w14:paraId="39817FE8" w14:textId="77777777" w:rsidR="001B68BD" w:rsidRDefault="001B68BD" w:rsidP="002C7599">
      <w:pPr>
        <w:pStyle w:val="Prrafodelista"/>
        <w:ind w:left="0"/>
        <w:contextualSpacing w:val="0"/>
        <w:jc w:val="both"/>
        <w:rPr>
          <w:lang w:val="es-ES"/>
        </w:rPr>
      </w:pPr>
    </w:p>
    <w:p w14:paraId="3814B13C" w14:textId="77777777" w:rsidR="001B68BD" w:rsidRDefault="001B68BD" w:rsidP="002C7599">
      <w:pPr>
        <w:pStyle w:val="Prrafodelista"/>
        <w:ind w:left="0"/>
        <w:contextualSpacing w:val="0"/>
        <w:jc w:val="both"/>
        <w:rPr>
          <w:lang w:val="es-ES"/>
        </w:rPr>
      </w:pPr>
    </w:p>
    <w:p w14:paraId="0CE02F5B" w14:textId="77777777" w:rsidR="00AA4A21" w:rsidRPr="002C7599" w:rsidRDefault="002373EA" w:rsidP="002C7599">
      <w:pPr>
        <w:pStyle w:val="Prrafodelista"/>
        <w:ind w:left="0"/>
        <w:contextualSpacing w:val="0"/>
        <w:jc w:val="both"/>
        <w:rPr>
          <w:lang w:val="es-ES"/>
        </w:rPr>
      </w:pPr>
      <w:r w:rsidRPr="00897D45">
        <w:rPr>
          <w:lang w:val="es-ES"/>
        </w:rPr>
        <w:t>La Sociedad no les ha concedido ningún anticipo o crédito ni tiene contraída obligación alguna en materia de pensiones o seguros de vida.</w:t>
      </w:r>
    </w:p>
    <w:p w14:paraId="67BB565F" w14:textId="77777777" w:rsidR="006906A8" w:rsidRDefault="006906A8" w:rsidP="00881E6B">
      <w:pPr>
        <w:jc w:val="both"/>
        <w:rPr>
          <w:b/>
          <w:bCs/>
          <w:u w:val="single"/>
          <w:lang w:val="es-ES_tradnl"/>
        </w:rPr>
      </w:pPr>
    </w:p>
    <w:p w14:paraId="0ACFCE39" w14:textId="4AC9F72A" w:rsidR="00881E6B" w:rsidRDefault="00BF117A" w:rsidP="00881E6B">
      <w:pPr>
        <w:jc w:val="both"/>
        <w:rPr>
          <w:b/>
          <w:bCs/>
          <w:u w:val="single"/>
          <w:lang w:val="es-ES_tradnl"/>
        </w:rPr>
      </w:pPr>
      <w:r>
        <w:rPr>
          <w:b/>
          <w:bCs/>
          <w:u w:val="single"/>
          <w:lang w:val="es-ES_tradnl"/>
        </w:rPr>
        <w:t>11</w:t>
      </w:r>
      <w:r w:rsidR="00881E6B" w:rsidRPr="00897D45">
        <w:rPr>
          <w:b/>
          <w:bCs/>
          <w:u w:val="single"/>
          <w:lang w:val="es-ES_tradnl"/>
        </w:rPr>
        <w:t xml:space="preserve">.- </w:t>
      </w:r>
      <w:r w:rsidR="00881E6B">
        <w:rPr>
          <w:b/>
          <w:bCs/>
          <w:u w:val="single"/>
          <w:lang w:val="es-ES_tradnl"/>
        </w:rPr>
        <w:t>Información sobre medio ambiente y derechos de emisión de gases de efecto invernadero</w:t>
      </w:r>
    </w:p>
    <w:p w14:paraId="612717C7" w14:textId="77777777" w:rsidR="00881E6B" w:rsidRDefault="00881E6B" w:rsidP="00881E6B">
      <w:pPr>
        <w:jc w:val="both"/>
        <w:rPr>
          <w:b/>
          <w:bCs/>
          <w:u w:val="single"/>
          <w:lang w:val="es-ES_tradnl"/>
        </w:rPr>
      </w:pPr>
    </w:p>
    <w:p w14:paraId="33C81A8A" w14:textId="77777777" w:rsidR="00881E6B" w:rsidRPr="00473A02" w:rsidRDefault="00881E6B" w:rsidP="00473A02">
      <w:pPr>
        <w:jc w:val="both"/>
        <w:rPr>
          <w:bCs/>
          <w:i/>
          <w:lang w:val="es-ES_tradnl"/>
        </w:rPr>
      </w:pPr>
      <w:r>
        <w:rPr>
          <w:bCs/>
          <w:i/>
          <w:lang w:val="es-ES_tradnl"/>
        </w:rPr>
        <w:tab/>
      </w:r>
      <w:r w:rsidRPr="00881E6B">
        <w:rPr>
          <w:b/>
          <w:bCs/>
          <w:i/>
          <w:lang w:val="es-ES_tradnl"/>
        </w:rPr>
        <w:t>11.1- información sobre medio ambiente</w:t>
      </w:r>
    </w:p>
    <w:p w14:paraId="1EAEF388" w14:textId="77777777" w:rsidR="00881E6B" w:rsidRDefault="00881E6B" w:rsidP="00473A02">
      <w:pPr>
        <w:ind w:firstLine="1134"/>
        <w:jc w:val="both"/>
        <w:rPr>
          <w:rFonts w:ascii="Arial" w:hAnsi="Arial" w:cs="Arial"/>
        </w:rPr>
      </w:pPr>
    </w:p>
    <w:p w14:paraId="38C16240" w14:textId="71E27710" w:rsidR="00881E6B" w:rsidRPr="00881E6B" w:rsidRDefault="00881E6B" w:rsidP="00473A02">
      <w:pPr>
        <w:jc w:val="both"/>
      </w:pPr>
      <w:r w:rsidRPr="00881E6B">
        <w:t xml:space="preserve">Los abajo firmantes, como Administradores de la Sociedad citada, manifiestan que en la contabilidad correspondiente a las presentes cuentas anuales </w:t>
      </w:r>
      <w:r w:rsidRPr="00881E6B">
        <w:rPr>
          <w:b/>
        </w:rPr>
        <w:t>NO</w:t>
      </w:r>
      <w:r w:rsidRPr="00881E6B">
        <w:t xml:space="preserve"> existe ninguna partida de naturaleza medioambiental que deba ser incluida en la Memoria de acuerdo a las indicaciones de la tercera parte del Plan General de Contabilidad de Pymes (Real Decreto 1515/2007, de 16 de Noviembre</w:t>
      </w:r>
      <w:r w:rsidR="007F3874">
        <w:t>.</w:t>
      </w:r>
      <w:r w:rsidRPr="00881E6B">
        <w:t>)</w:t>
      </w:r>
    </w:p>
    <w:p w14:paraId="6DE313C7" w14:textId="77777777" w:rsidR="00603DBB" w:rsidRPr="00881E6B" w:rsidRDefault="00603DBB" w:rsidP="003D393C">
      <w:pPr>
        <w:jc w:val="both"/>
      </w:pPr>
    </w:p>
    <w:p w14:paraId="3B7AB407" w14:textId="77777777" w:rsidR="00881E6B" w:rsidRPr="00473A02" w:rsidRDefault="00473A02" w:rsidP="00473A02">
      <w:pPr>
        <w:keepNext/>
        <w:jc w:val="both"/>
        <w:rPr>
          <w:b/>
          <w:i/>
        </w:rPr>
      </w:pPr>
      <w:r>
        <w:tab/>
      </w:r>
      <w:r w:rsidRPr="00473A02">
        <w:rPr>
          <w:b/>
          <w:i/>
        </w:rPr>
        <w:t>11.2-</w:t>
      </w:r>
      <w:r w:rsidR="00881E6B" w:rsidRPr="00473A02">
        <w:rPr>
          <w:b/>
          <w:i/>
        </w:rPr>
        <w:t>. Derechos de emisión de gases de efecto invernadero</w:t>
      </w:r>
    </w:p>
    <w:p w14:paraId="6D593866" w14:textId="77777777" w:rsidR="00881E6B" w:rsidRPr="00881E6B" w:rsidRDefault="00881E6B" w:rsidP="00473A02">
      <w:pPr>
        <w:jc w:val="both"/>
      </w:pPr>
    </w:p>
    <w:p w14:paraId="12D58251" w14:textId="77777777" w:rsidR="00881E6B" w:rsidRPr="00881E6B" w:rsidRDefault="00881E6B" w:rsidP="00473A02">
      <w:pPr>
        <w:jc w:val="both"/>
      </w:pPr>
      <w:r w:rsidRPr="00881E6B">
        <w:t>Durante el ejercicio actual y ejercicio anterior, no se ha producido ningún movimiento en la partida de derechos de emisión de gases de efecto invernadero.</w:t>
      </w:r>
    </w:p>
    <w:p w14:paraId="23F50836" w14:textId="77777777" w:rsidR="00881E6B" w:rsidRDefault="00881E6B" w:rsidP="00473A02">
      <w:pPr>
        <w:jc w:val="both"/>
        <w:rPr>
          <w:b/>
          <w:bCs/>
          <w:u w:val="single"/>
        </w:rPr>
      </w:pPr>
    </w:p>
    <w:p w14:paraId="36E257F4" w14:textId="77777777" w:rsidR="006906A8" w:rsidRDefault="006906A8" w:rsidP="00473A02">
      <w:pPr>
        <w:jc w:val="both"/>
        <w:rPr>
          <w:b/>
          <w:bCs/>
          <w:u w:val="single"/>
        </w:rPr>
      </w:pPr>
    </w:p>
    <w:p w14:paraId="262A61EE" w14:textId="77777777" w:rsidR="005161B7" w:rsidRPr="009F62E6" w:rsidRDefault="0059681F" w:rsidP="00473A02">
      <w:pPr>
        <w:jc w:val="both"/>
        <w:rPr>
          <w:b/>
          <w:bCs/>
          <w:u w:val="single"/>
        </w:rPr>
      </w:pPr>
      <w:r w:rsidRPr="009F62E6">
        <w:rPr>
          <w:b/>
          <w:bCs/>
          <w:u w:val="single"/>
        </w:rPr>
        <w:t>12.-Reserva para inversiones en Canarias</w:t>
      </w:r>
    </w:p>
    <w:p w14:paraId="42FBB097" w14:textId="77777777" w:rsidR="0059681F" w:rsidRPr="009F62E6" w:rsidRDefault="0059681F" w:rsidP="00473A02">
      <w:pPr>
        <w:jc w:val="both"/>
        <w:rPr>
          <w:b/>
          <w:bCs/>
          <w:u w:val="single"/>
        </w:rPr>
      </w:pPr>
    </w:p>
    <w:p w14:paraId="4CB2757C" w14:textId="77777777" w:rsidR="0059681F" w:rsidRPr="009F62E6" w:rsidRDefault="0059681F" w:rsidP="0059681F">
      <w:pPr>
        <w:pStyle w:val="Default"/>
        <w:rPr>
          <w:rFonts w:ascii="Times New Roman" w:hAnsi="Times New Roman" w:cs="Times New Roman"/>
        </w:rPr>
      </w:pPr>
      <w:r w:rsidRPr="009F62E6">
        <w:rPr>
          <w:rFonts w:ascii="Times New Roman" w:hAnsi="Times New Roman" w:cs="Times New Roman"/>
          <w:iCs/>
        </w:rPr>
        <w:t>La Sociedad ha aplicado</w:t>
      </w:r>
      <w:r w:rsidR="00391807" w:rsidRPr="009F62E6">
        <w:rPr>
          <w:rFonts w:ascii="Times New Roman" w:hAnsi="Times New Roman" w:cs="Times New Roman"/>
          <w:iCs/>
        </w:rPr>
        <w:t xml:space="preserve"> en el ejercicio 2017 </w:t>
      </w:r>
      <w:r w:rsidRPr="009F62E6">
        <w:rPr>
          <w:rFonts w:ascii="Times New Roman" w:hAnsi="Times New Roman" w:cs="Times New Roman"/>
          <w:iCs/>
        </w:rPr>
        <w:t>reducciones en la base imponible por el 90 % de los beneficios destinados a la Reserva para Inversiones en Canarias (RIC</w:t>
      </w:r>
      <w:r w:rsidR="009F62E6" w:rsidRPr="009F62E6">
        <w:rPr>
          <w:rFonts w:ascii="Times New Roman" w:hAnsi="Times New Roman" w:cs="Times New Roman"/>
          <w:iCs/>
        </w:rPr>
        <w:t>).</w:t>
      </w:r>
      <w:r w:rsidRPr="009F62E6">
        <w:rPr>
          <w:rFonts w:ascii="Times New Roman" w:hAnsi="Times New Roman" w:cs="Times New Roman"/>
          <w:iCs/>
        </w:rPr>
        <w:t xml:space="preserve"> </w:t>
      </w:r>
    </w:p>
    <w:p w14:paraId="7551EDB6" w14:textId="77777777" w:rsidR="0059681F" w:rsidRPr="009F62E6" w:rsidRDefault="0059681F" w:rsidP="00473A02">
      <w:pPr>
        <w:jc w:val="both"/>
        <w:rPr>
          <w:b/>
          <w:bCs/>
          <w:u w:val="single"/>
        </w:rPr>
      </w:pPr>
    </w:p>
    <w:p w14:paraId="48577D95" w14:textId="77777777" w:rsidR="00A36F5C" w:rsidRDefault="00D002FE" w:rsidP="00D002FE">
      <w:pPr>
        <w:autoSpaceDE w:val="0"/>
        <w:autoSpaceDN w:val="0"/>
        <w:adjustRightInd w:val="0"/>
        <w:jc w:val="both"/>
        <w:rPr>
          <w:iCs/>
          <w:color w:val="000000"/>
          <w:szCs w:val="24"/>
          <w:lang w:eastAsia="es-ES"/>
        </w:rPr>
      </w:pPr>
      <w:r w:rsidRPr="00D002FE">
        <w:rPr>
          <w:iCs/>
          <w:color w:val="000000"/>
          <w:szCs w:val="24"/>
          <w:lang w:eastAsia="es-ES"/>
        </w:rPr>
        <w:t xml:space="preserve">Las dotaciones a esta Reserva deben de materializarse en un plazo máximo de 3 años contados desde la fecha del devengo del impuesto correspondiente al ejercicio en que se </w:t>
      </w:r>
    </w:p>
    <w:p w14:paraId="01733D2E" w14:textId="77777777" w:rsidR="00A77C4F" w:rsidRDefault="00A77C4F" w:rsidP="00D002FE">
      <w:pPr>
        <w:autoSpaceDE w:val="0"/>
        <w:autoSpaceDN w:val="0"/>
        <w:adjustRightInd w:val="0"/>
        <w:jc w:val="both"/>
        <w:rPr>
          <w:iCs/>
          <w:color w:val="000000"/>
          <w:szCs w:val="24"/>
          <w:lang w:eastAsia="es-ES"/>
        </w:rPr>
      </w:pPr>
    </w:p>
    <w:p w14:paraId="14F85818" w14:textId="77777777" w:rsidR="00A77C4F" w:rsidRDefault="00A77C4F" w:rsidP="00D002FE">
      <w:pPr>
        <w:autoSpaceDE w:val="0"/>
        <w:autoSpaceDN w:val="0"/>
        <w:adjustRightInd w:val="0"/>
        <w:jc w:val="both"/>
        <w:rPr>
          <w:iCs/>
          <w:color w:val="000000"/>
          <w:szCs w:val="24"/>
          <w:lang w:eastAsia="es-ES"/>
        </w:rPr>
      </w:pPr>
    </w:p>
    <w:p w14:paraId="63194CE3" w14:textId="3CFEC5D5" w:rsidR="00D002FE" w:rsidRPr="00CF418E" w:rsidRDefault="00D002FE" w:rsidP="00D002FE">
      <w:pPr>
        <w:autoSpaceDE w:val="0"/>
        <w:autoSpaceDN w:val="0"/>
        <w:adjustRightInd w:val="0"/>
        <w:jc w:val="both"/>
        <w:rPr>
          <w:iCs/>
          <w:color w:val="000000"/>
          <w:szCs w:val="24"/>
          <w:lang w:eastAsia="es-ES"/>
        </w:rPr>
      </w:pPr>
      <w:r w:rsidRPr="00D002FE">
        <w:rPr>
          <w:iCs/>
          <w:color w:val="000000"/>
          <w:szCs w:val="24"/>
          <w:lang w:eastAsia="es-ES"/>
        </w:rPr>
        <w:lastRenderedPageBreak/>
        <w:t>hubiera efectuado la dotación. Al cierre del ejercicio se encuentran sujetas al requisito de permanencia las inversiones en inmovilizado</w:t>
      </w:r>
      <w:r w:rsidR="00F44F8B">
        <w:rPr>
          <w:iCs/>
          <w:color w:val="000000"/>
          <w:szCs w:val="24"/>
          <w:lang w:eastAsia="es-ES"/>
        </w:rPr>
        <w:t xml:space="preserve"> que </w:t>
      </w:r>
      <w:r w:rsidRPr="00D002FE">
        <w:rPr>
          <w:iCs/>
          <w:color w:val="000000"/>
          <w:szCs w:val="24"/>
          <w:lang w:eastAsia="es-ES"/>
        </w:rPr>
        <w:t xml:space="preserve">se indican a continuación: </w:t>
      </w:r>
    </w:p>
    <w:p w14:paraId="5CA77E59" w14:textId="77777777" w:rsidR="00D002FE" w:rsidRDefault="00D002FE" w:rsidP="00D002FE">
      <w:pPr>
        <w:autoSpaceDE w:val="0"/>
        <w:autoSpaceDN w:val="0"/>
        <w:adjustRightInd w:val="0"/>
        <w:jc w:val="both"/>
        <w:rPr>
          <w:rFonts w:ascii="Calibri" w:hAnsi="Calibri" w:cs="Calibri"/>
          <w:i/>
          <w:iCs/>
          <w:color w:val="000000"/>
          <w:sz w:val="20"/>
          <w:szCs w:val="20"/>
          <w:lang w:eastAsia="es-ES"/>
        </w:rPr>
      </w:pPr>
    </w:p>
    <w:p w14:paraId="22019BED" w14:textId="655149F5" w:rsidR="00471310" w:rsidRDefault="00471310" w:rsidP="00D002FE">
      <w:pPr>
        <w:autoSpaceDE w:val="0"/>
        <w:autoSpaceDN w:val="0"/>
        <w:adjustRightInd w:val="0"/>
        <w:jc w:val="both"/>
        <w:rPr>
          <w:b/>
          <w:iCs/>
          <w:color w:val="000000"/>
          <w:sz w:val="20"/>
          <w:szCs w:val="20"/>
          <w:u w:val="single"/>
          <w:lang w:eastAsia="es-ES"/>
        </w:rPr>
      </w:pPr>
    </w:p>
    <w:p w14:paraId="7A8F1BC2" w14:textId="5F28E6EC" w:rsidR="00344644" w:rsidRDefault="00344644" w:rsidP="00D002FE">
      <w:pPr>
        <w:autoSpaceDE w:val="0"/>
        <w:autoSpaceDN w:val="0"/>
        <w:adjustRightInd w:val="0"/>
        <w:jc w:val="both"/>
        <w:rPr>
          <w:b/>
          <w:iCs/>
          <w:color w:val="000000"/>
          <w:sz w:val="20"/>
          <w:szCs w:val="20"/>
          <w:u w:val="single"/>
          <w:lang w:eastAsia="es-ES"/>
        </w:rPr>
      </w:pPr>
    </w:p>
    <w:p w14:paraId="21D7EC16" w14:textId="77777777" w:rsidR="00344644" w:rsidRDefault="00344644" w:rsidP="00D002FE">
      <w:pPr>
        <w:autoSpaceDE w:val="0"/>
        <w:autoSpaceDN w:val="0"/>
        <w:adjustRightInd w:val="0"/>
        <w:jc w:val="both"/>
        <w:rPr>
          <w:b/>
          <w:iCs/>
          <w:color w:val="000000"/>
          <w:sz w:val="20"/>
          <w:szCs w:val="20"/>
          <w:u w:val="single"/>
          <w:lang w:eastAsia="es-ES"/>
        </w:rPr>
      </w:pPr>
    </w:p>
    <w:p w14:paraId="20A70D07" w14:textId="4B65F8AB" w:rsidR="00CF418E" w:rsidRPr="00B63898" w:rsidRDefault="00CF418E" w:rsidP="00D002FE">
      <w:pPr>
        <w:autoSpaceDE w:val="0"/>
        <w:autoSpaceDN w:val="0"/>
        <w:adjustRightInd w:val="0"/>
        <w:jc w:val="both"/>
        <w:rPr>
          <w:b/>
          <w:iCs/>
          <w:color w:val="000000"/>
          <w:sz w:val="20"/>
          <w:szCs w:val="20"/>
          <w:u w:val="single"/>
          <w:lang w:eastAsia="es-ES"/>
        </w:rPr>
      </w:pPr>
      <w:r w:rsidRPr="00B63898">
        <w:rPr>
          <w:b/>
          <w:iCs/>
          <w:color w:val="000000"/>
          <w:sz w:val="20"/>
          <w:szCs w:val="20"/>
          <w:u w:val="single"/>
          <w:lang w:eastAsia="es-ES"/>
        </w:rPr>
        <w:t>INMVILIZADO MATERIAL</w:t>
      </w:r>
    </w:p>
    <w:p w14:paraId="43AB8036" w14:textId="77777777" w:rsidR="00D002FE" w:rsidRPr="00CF418E" w:rsidRDefault="00D002FE" w:rsidP="00D002FE">
      <w:pPr>
        <w:autoSpaceDE w:val="0"/>
        <w:autoSpaceDN w:val="0"/>
        <w:adjustRightInd w:val="0"/>
        <w:jc w:val="both"/>
        <w:rPr>
          <w:color w:val="000000"/>
          <w:sz w:val="20"/>
          <w:szCs w:val="20"/>
          <w:lang w:eastAsia="es-ES"/>
        </w:rPr>
      </w:pPr>
    </w:p>
    <w:tbl>
      <w:tblPr>
        <w:tblStyle w:val="Tablaconcuadrcula"/>
        <w:tblW w:w="0" w:type="auto"/>
        <w:tblLook w:val="04A0" w:firstRow="1" w:lastRow="0" w:firstColumn="1" w:lastColumn="0" w:noHBand="0" w:noVBand="1"/>
      </w:tblPr>
      <w:tblGrid>
        <w:gridCol w:w="2895"/>
        <w:gridCol w:w="2895"/>
        <w:gridCol w:w="2896"/>
      </w:tblGrid>
      <w:tr w:rsidR="00D002FE" w:rsidRPr="00CF418E" w14:paraId="7473E233" w14:textId="77777777" w:rsidTr="00D002FE">
        <w:tc>
          <w:tcPr>
            <w:tcW w:w="2895" w:type="dxa"/>
          </w:tcPr>
          <w:p w14:paraId="25627A13" w14:textId="77777777" w:rsidR="00D002FE" w:rsidRPr="00CF418E" w:rsidRDefault="00D002FE" w:rsidP="00D002FE">
            <w:pPr>
              <w:autoSpaceDE w:val="0"/>
              <w:autoSpaceDN w:val="0"/>
              <w:adjustRightInd w:val="0"/>
              <w:jc w:val="center"/>
              <w:rPr>
                <w:b/>
                <w:color w:val="000000"/>
                <w:sz w:val="20"/>
                <w:szCs w:val="20"/>
                <w:lang w:eastAsia="es-ES"/>
              </w:rPr>
            </w:pPr>
            <w:r w:rsidRPr="00CF418E">
              <w:rPr>
                <w:b/>
                <w:color w:val="000000"/>
                <w:sz w:val="20"/>
                <w:szCs w:val="20"/>
                <w:lang w:eastAsia="es-ES"/>
              </w:rPr>
              <w:t>ELEMENTO</w:t>
            </w:r>
          </w:p>
        </w:tc>
        <w:tc>
          <w:tcPr>
            <w:tcW w:w="2895" w:type="dxa"/>
          </w:tcPr>
          <w:p w14:paraId="4DF1F84E" w14:textId="77777777" w:rsidR="00D002FE" w:rsidRPr="00CF418E" w:rsidRDefault="00D002FE" w:rsidP="00D002FE">
            <w:pPr>
              <w:autoSpaceDE w:val="0"/>
              <w:autoSpaceDN w:val="0"/>
              <w:adjustRightInd w:val="0"/>
              <w:jc w:val="center"/>
              <w:rPr>
                <w:b/>
                <w:color w:val="000000"/>
                <w:sz w:val="20"/>
                <w:szCs w:val="20"/>
                <w:lang w:eastAsia="es-ES"/>
              </w:rPr>
            </w:pPr>
            <w:r w:rsidRPr="00CF418E">
              <w:rPr>
                <w:b/>
                <w:color w:val="000000"/>
                <w:sz w:val="20"/>
                <w:szCs w:val="20"/>
                <w:lang w:eastAsia="es-ES"/>
              </w:rPr>
              <w:t>FECHA DE ADQUISICION</w:t>
            </w:r>
          </w:p>
        </w:tc>
        <w:tc>
          <w:tcPr>
            <w:tcW w:w="2896" w:type="dxa"/>
          </w:tcPr>
          <w:p w14:paraId="56CF942A" w14:textId="77777777" w:rsidR="00D002FE" w:rsidRPr="00CF418E" w:rsidRDefault="00D002FE" w:rsidP="00D002FE">
            <w:pPr>
              <w:autoSpaceDE w:val="0"/>
              <w:autoSpaceDN w:val="0"/>
              <w:adjustRightInd w:val="0"/>
              <w:jc w:val="center"/>
              <w:rPr>
                <w:b/>
                <w:color w:val="000000"/>
                <w:sz w:val="20"/>
                <w:szCs w:val="20"/>
                <w:lang w:eastAsia="es-ES"/>
              </w:rPr>
            </w:pPr>
            <w:r w:rsidRPr="00CF418E">
              <w:rPr>
                <w:b/>
                <w:color w:val="000000"/>
                <w:sz w:val="20"/>
                <w:szCs w:val="20"/>
                <w:lang w:eastAsia="es-ES"/>
              </w:rPr>
              <w:t>IMPORTE</w:t>
            </w:r>
          </w:p>
        </w:tc>
      </w:tr>
      <w:tr w:rsidR="00D002FE" w:rsidRPr="00CF418E" w14:paraId="581E18F1" w14:textId="77777777" w:rsidTr="00D002FE">
        <w:tc>
          <w:tcPr>
            <w:tcW w:w="2895" w:type="dxa"/>
          </w:tcPr>
          <w:p w14:paraId="1CB9C1A8" w14:textId="77777777" w:rsidR="00D002FE" w:rsidRPr="00CF418E" w:rsidRDefault="00CF418E" w:rsidP="00CF418E">
            <w:pPr>
              <w:autoSpaceDE w:val="0"/>
              <w:autoSpaceDN w:val="0"/>
              <w:adjustRightInd w:val="0"/>
              <w:jc w:val="center"/>
              <w:rPr>
                <w:color w:val="000000"/>
                <w:sz w:val="20"/>
                <w:szCs w:val="20"/>
                <w:lang w:eastAsia="es-ES"/>
              </w:rPr>
            </w:pPr>
            <w:r w:rsidRPr="00CF418E">
              <w:rPr>
                <w:color w:val="000000"/>
                <w:sz w:val="20"/>
                <w:szCs w:val="20"/>
                <w:lang w:eastAsia="es-ES"/>
              </w:rPr>
              <w:t>ESTANTERIAS ECONOMATO</w:t>
            </w:r>
          </w:p>
        </w:tc>
        <w:tc>
          <w:tcPr>
            <w:tcW w:w="2895" w:type="dxa"/>
          </w:tcPr>
          <w:p w14:paraId="1D46F8B7" w14:textId="77777777" w:rsidR="00D002FE" w:rsidRPr="00CF418E" w:rsidRDefault="00CF418E" w:rsidP="00CF418E">
            <w:pPr>
              <w:autoSpaceDE w:val="0"/>
              <w:autoSpaceDN w:val="0"/>
              <w:adjustRightInd w:val="0"/>
              <w:jc w:val="center"/>
              <w:rPr>
                <w:color w:val="000000"/>
                <w:sz w:val="20"/>
                <w:szCs w:val="20"/>
                <w:lang w:eastAsia="es-ES"/>
              </w:rPr>
            </w:pPr>
            <w:r w:rsidRPr="00CF418E">
              <w:rPr>
                <w:color w:val="000000"/>
                <w:sz w:val="20"/>
                <w:szCs w:val="20"/>
                <w:lang w:eastAsia="es-ES"/>
              </w:rPr>
              <w:t>14-02-2018</w:t>
            </w:r>
          </w:p>
        </w:tc>
        <w:tc>
          <w:tcPr>
            <w:tcW w:w="2896" w:type="dxa"/>
          </w:tcPr>
          <w:p w14:paraId="46C03E2D" w14:textId="77777777" w:rsidR="00D002FE" w:rsidRPr="00CF418E" w:rsidRDefault="00CF418E" w:rsidP="00CF418E">
            <w:pPr>
              <w:autoSpaceDE w:val="0"/>
              <w:autoSpaceDN w:val="0"/>
              <w:adjustRightInd w:val="0"/>
              <w:jc w:val="center"/>
              <w:rPr>
                <w:color w:val="000000"/>
                <w:sz w:val="20"/>
                <w:szCs w:val="20"/>
                <w:lang w:eastAsia="es-ES"/>
              </w:rPr>
            </w:pPr>
            <w:r w:rsidRPr="00CF418E">
              <w:rPr>
                <w:color w:val="000000"/>
                <w:sz w:val="20"/>
                <w:szCs w:val="20"/>
                <w:lang w:eastAsia="es-ES"/>
              </w:rPr>
              <w:t>1.673,92</w:t>
            </w:r>
          </w:p>
        </w:tc>
      </w:tr>
      <w:tr w:rsidR="00D002FE" w:rsidRPr="00CF418E" w14:paraId="3D15600E" w14:textId="77777777" w:rsidTr="00D002FE">
        <w:tc>
          <w:tcPr>
            <w:tcW w:w="2895" w:type="dxa"/>
          </w:tcPr>
          <w:p w14:paraId="15AFB22A" w14:textId="77777777" w:rsidR="00D002FE" w:rsidRPr="00CF418E" w:rsidRDefault="00CF418E" w:rsidP="00CF418E">
            <w:pPr>
              <w:autoSpaceDE w:val="0"/>
              <w:autoSpaceDN w:val="0"/>
              <w:adjustRightInd w:val="0"/>
              <w:jc w:val="center"/>
              <w:rPr>
                <w:color w:val="000000"/>
                <w:sz w:val="20"/>
                <w:szCs w:val="20"/>
                <w:lang w:eastAsia="es-ES"/>
              </w:rPr>
            </w:pPr>
            <w:r w:rsidRPr="00CF418E">
              <w:rPr>
                <w:color w:val="000000"/>
                <w:sz w:val="20"/>
                <w:szCs w:val="20"/>
                <w:lang w:eastAsia="es-ES"/>
              </w:rPr>
              <w:t>TOLDO TERRAZA PUB</w:t>
            </w:r>
          </w:p>
        </w:tc>
        <w:tc>
          <w:tcPr>
            <w:tcW w:w="2895" w:type="dxa"/>
          </w:tcPr>
          <w:p w14:paraId="1052BC38" w14:textId="77777777" w:rsidR="00D002FE" w:rsidRPr="00CF418E" w:rsidRDefault="001D5262" w:rsidP="00CF418E">
            <w:pPr>
              <w:autoSpaceDE w:val="0"/>
              <w:autoSpaceDN w:val="0"/>
              <w:adjustRightInd w:val="0"/>
              <w:jc w:val="center"/>
              <w:rPr>
                <w:color w:val="000000"/>
                <w:sz w:val="20"/>
                <w:szCs w:val="20"/>
                <w:lang w:eastAsia="es-ES"/>
              </w:rPr>
            </w:pPr>
            <w:r>
              <w:rPr>
                <w:color w:val="000000"/>
                <w:sz w:val="20"/>
                <w:szCs w:val="20"/>
                <w:lang w:eastAsia="es-ES"/>
              </w:rPr>
              <w:t>16-11-2018</w:t>
            </w:r>
          </w:p>
        </w:tc>
        <w:tc>
          <w:tcPr>
            <w:tcW w:w="2896" w:type="dxa"/>
          </w:tcPr>
          <w:p w14:paraId="510B6458" w14:textId="77777777" w:rsidR="00D002FE" w:rsidRPr="00CF418E" w:rsidRDefault="00CF418E" w:rsidP="00CF418E">
            <w:pPr>
              <w:autoSpaceDE w:val="0"/>
              <w:autoSpaceDN w:val="0"/>
              <w:adjustRightInd w:val="0"/>
              <w:jc w:val="center"/>
              <w:rPr>
                <w:color w:val="000000"/>
                <w:sz w:val="20"/>
                <w:szCs w:val="20"/>
                <w:lang w:eastAsia="es-ES"/>
              </w:rPr>
            </w:pPr>
            <w:r w:rsidRPr="00CF418E">
              <w:rPr>
                <w:color w:val="000000"/>
                <w:sz w:val="20"/>
                <w:szCs w:val="20"/>
                <w:lang w:eastAsia="es-ES"/>
              </w:rPr>
              <w:t>16.982</w:t>
            </w:r>
          </w:p>
        </w:tc>
      </w:tr>
      <w:tr w:rsidR="00CF418E" w:rsidRPr="00CF418E" w14:paraId="67C04AA2" w14:textId="77777777" w:rsidTr="00D002FE">
        <w:tc>
          <w:tcPr>
            <w:tcW w:w="2895" w:type="dxa"/>
          </w:tcPr>
          <w:p w14:paraId="7812DBFD" w14:textId="77777777" w:rsidR="00CF418E" w:rsidRPr="00CF418E" w:rsidRDefault="00CF418E" w:rsidP="00CF418E">
            <w:pPr>
              <w:autoSpaceDE w:val="0"/>
              <w:autoSpaceDN w:val="0"/>
              <w:adjustRightInd w:val="0"/>
              <w:jc w:val="center"/>
              <w:rPr>
                <w:color w:val="000000"/>
                <w:sz w:val="20"/>
                <w:szCs w:val="20"/>
                <w:lang w:eastAsia="es-ES"/>
              </w:rPr>
            </w:pPr>
            <w:r>
              <w:rPr>
                <w:color w:val="000000"/>
                <w:sz w:val="20"/>
                <w:szCs w:val="20"/>
                <w:lang w:eastAsia="es-ES"/>
              </w:rPr>
              <w:t>HORNO RATIO</w:t>
            </w:r>
          </w:p>
        </w:tc>
        <w:tc>
          <w:tcPr>
            <w:tcW w:w="2895" w:type="dxa"/>
          </w:tcPr>
          <w:p w14:paraId="068E7020" w14:textId="77777777" w:rsidR="00CF418E" w:rsidRPr="00CF418E" w:rsidRDefault="00CF418E" w:rsidP="00CF418E">
            <w:pPr>
              <w:autoSpaceDE w:val="0"/>
              <w:autoSpaceDN w:val="0"/>
              <w:adjustRightInd w:val="0"/>
              <w:jc w:val="center"/>
              <w:rPr>
                <w:color w:val="000000"/>
                <w:sz w:val="20"/>
                <w:szCs w:val="20"/>
                <w:lang w:eastAsia="es-ES"/>
              </w:rPr>
            </w:pPr>
            <w:r>
              <w:rPr>
                <w:color w:val="000000"/>
                <w:sz w:val="20"/>
                <w:szCs w:val="20"/>
                <w:lang w:eastAsia="es-ES"/>
              </w:rPr>
              <w:t>16-11-2018</w:t>
            </w:r>
          </w:p>
        </w:tc>
        <w:tc>
          <w:tcPr>
            <w:tcW w:w="2896" w:type="dxa"/>
          </w:tcPr>
          <w:p w14:paraId="21702ECE" w14:textId="77777777" w:rsidR="00CF418E" w:rsidRPr="00CF418E" w:rsidRDefault="00CF418E" w:rsidP="00CF418E">
            <w:pPr>
              <w:autoSpaceDE w:val="0"/>
              <w:autoSpaceDN w:val="0"/>
              <w:adjustRightInd w:val="0"/>
              <w:jc w:val="center"/>
              <w:rPr>
                <w:color w:val="000000"/>
                <w:sz w:val="20"/>
                <w:szCs w:val="20"/>
                <w:lang w:eastAsia="es-ES"/>
              </w:rPr>
            </w:pPr>
            <w:r>
              <w:rPr>
                <w:color w:val="000000"/>
                <w:sz w:val="20"/>
                <w:szCs w:val="20"/>
                <w:lang w:eastAsia="es-ES"/>
              </w:rPr>
              <w:t>10.040</w:t>
            </w:r>
          </w:p>
        </w:tc>
      </w:tr>
      <w:tr w:rsidR="00CF418E" w:rsidRPr="00CF418E" w14:paraId="30E19C73" w14:textId="77777777" w:rsidTr="00D002FE">
        <w:tc>
          <w:tcPr>
            <w:tcW w:w="2895" w:type="dxa"/>
          </w:tcPr>
          <w:p w14:paraId="56FC12B9" w14:textId="77777777" w:rsidR="00CF418E" w:rsidRDefault="00CF418E" w:rsidP="00CF418E">
            <w:pPr>
              <w:autoSpaceDE w:val="0"/>
              <w:autoSpaceDN w:val="0"/>
              <w:adjustRightInd w:val="0"/>
              <w:jc w:val="center"/>
              <w:rPr>
                <w:color w:val="000000"/>
                <w:sz w:val="20"/>
                <w:szCs w:val="20"/>
                <w:lang w:eastAsia="es-ES"/>
              </w:rPr>
            </w:pPr>
            <w:r>
              <w:rPr>
                <w:color w:val="000000"/>
                <w:sz w:val="20"/>
                <w:szCs w:val="20"/>
                <w:lang w:eastAsia="es-ES"/>
              </w:rPr>
              <w:t>TV SAMSUNG 55” PUB</w:t>
            </w:r>
          </w:p>
        </w:tc>
        <w:tc>
          <w:tcPr>
            <w:tcW w:w="2895" w:type="dxa"/>
          </w:tcPr>
          <w:p w14:paraId="1F67364D" w14:textId="77777777" w:rsidR="00CF418E" w:rsidRDefault="00B106AC" w:rsidP="00CF418E">
            <w:pPr>
              <w:autoSpaceDE w:val="0"/>
              <w:autoSpaceDN w:val="0"/>
              <w:adjustRightInd w:val="0"/>
              <w:jc w:val="center"/>
              <w:rPr>
                <w:color w:val="000000"/>
                <w:sz w:val="20"/>
                <w:szCs w:val="20"/>
                <w:lang w:eastAsia="es-ES"/>
              </w:rPr>
            </w:pPr>
            <w:r>
              <w:rPr>
                <w:color w:val="000000"/>
                <w:sz w:val="20"/>
                <w:szCs w:val="20"/>
                <w:lang w:eastAsia="es-ES"/>
              </w:rPr>
              <w:t>12-07-2018</w:t>
            </w:r>
          </w:p>
        </w:tc>
        <w:tc>
          <w:tcPr>
            <w:tcW w:w="2896" w:type="dxa"/>
          </w:tcPr>
          <w:p w14:paraId="559ADB73" w14:textId="77777777" w:rsidR="00CF418E" w:rsidRDefault="00CF418E" w:rsidP="00CF418E">
            <w:pPr>
              <w:autoSpaceDE w:val="0"/>
              <w:autoSpaceDN w:val="0"/>
              <w:adjustRightInd w:val="0"/>
              <w:jc w:val="center"/>
              <w:rPr>
                <w:color w:val="000000"/>
                <w:sz w:val="20"/>
                <w:szCs w:val="20"/>
                <w:lang w:eastAsia="es-ES"/>
              </w:rPr>
            </w:pPr>
            <w:r>
              <w:rPr>
                <w:color w:val="000000"/>
                <w:sz w:val="20"/>
                <w:szCs w:val="20"/>
                <w:lang w:eastAsia="es-ES"/>
              </w:rPr>
              <w:t>1.278,20</w:t>
            </w:r>
          </w:p>
        </w:tc>
      </w:tr>
      <w:tr w:rsidR="00D002FE" w:rsidRPr="00CF418E" w14:paraId="320B9278" w14:textId="77777777" w:rsidTr="00D002FE">
        <w:tc>
          <w:tcPr>
            <w:tcW w:w="2895" w:type="dxa"/>
          </w:tcPr>
          <w:p w14:paraId="5A3BC12A" w14:textId="77777777" w:rsidR="00D002FE" w:rsidRPr="00CF418E" w:rsidRDefault="00D002FE" w:rsidP="00CF418E">
            <w:pPr>
              <w:autoSpaceDE w:val="0"/>
              <w:autoSpaceDN w:val="0"/>
              <w:adjustRightInd w:val="0"/>
              <w:jc w:val="center"/>
              <w:rPr>
                <w:color w:val="000000"/>
                <w:sz w:val="20"/>
                <w:szCs w:val="20"/>
                <w:lang w:eastAsia="es-ES"/>
              </w:rPr>
            </w:pPr>
            <w:r w:rsidRPr="00CF418E">
              <w:rPr>
                <w:color w:val="000000"/>
                <w:sz w:val="20"/>
                <w:szCs w:val="20"/>
                <w:lang w:eastAsia="es-ES"/>
              </w:rPr>
              <w:t>TOTALES</w:t>
            </w:r>
          </w:p>
        </w:tc>
        <w:tc>
          <w:tcPr>
            <w:tcW w:w="2895" w:type="dxa"/>
          </w:tcPr>
          <w:p w14:paraId="416E5CD9" w14:textId="77777777" w:rsidR="00D002FE" w:rsidRPr="00CF418E" w:rsidRDefault="00D002FE" w:rsidP="00CF418E">
            <w:pPr>
              <w:autoSpaceDE w:val="0"/>
              <w:autoSpaceDN w:val="0"/>
              <w:adjustRightInd w:val="0"/>
              <w:jc w:val="center"/>
              <w:rPr>
                <w:color w:val="000000"/>
                <w:sz w:val="20"/>
                <w:szCs w:val="20"/>
                <w:lang w:eastAsia="es-ES"/>
              </w:rPr>
            </w:pPr>
          </w:p>
        </w:tc>
        <w:tc>
          <w:tcPr>
            <w:tcW w:w="2896" w:type="dxa"/>
          </w:tcPr>
          <w:p w14:paraId="41ECBC96" w14:textId="77777777" w:rsidR="00D002FE" w:rsidRPr="00CF418E" w:rsidRDefault="00CF418E" w:rsidP="00CF418E">
            <w:pPr>
              <w:autoSpaceDE w:val="0"/>
              <w:autoSpaceDN w:val="0"/>
              <w:adjustRightInd w:val="0"/>
              <w:jc w:val="center"/>
              <w:rPr>
                <w:color w:val="000000"/>
                <w:sz w:val="20"/>
                <w:szCs w:val="20"/>
                <w:lang w:eastAsia="es-ES"/>
              </w:rPr>
            </w:pPr>
            <w:r>
              <w:rPr>
                <w:color w:val="000000"/>
                <w:sz w:val="20"/>
                <w:szCs w:val="20"/>
                <w:lang w:eastAsia="es-ES"/>
              </w:rPr>
              <w:t>29.974,12</w:t>
            </w:r>
          </w:p>
        </w:tc>
      </w:tr>
    </w:tbl>
    <w:p w14:paraId="00FEE67B" w14:textId="77777777" w:rsidR="00D002FE" w:rsidRPr="00CF418E" w:rsidRDefault="00D002FE" w:rsidP="00CF418E">
      <w:pPr>
        <w:autoSpaceDE w:val="0"/>
        <w:autoSpaceDN w:val="0"/>
        <w:adjustRightInd w:val="0"/>
        <w:jc w:val="center"/>
        <w:rPr>
          <w:color w:val="000000"/>
          <w:sz w:val="20"/>
          <w:szCs w:val="20"/>
          <w:lang w:eastAsia="es-ES"/>
        </w:rPr>
      </w:pPr>
    </w:p>
    <w:p w14:paraId="4DDCAAD7" w14:textId="77777777" w:rsidR="00D002FE" w:rsidRDefault="00D002FE" w:rsidP="00730BC1">
      <w:pPr>
        <w:pStyle w:val="Default"/>
        <w:jc w:val="both"/>
        <w:rPr>
          <w:rFonts w:ascii="Times New Roman" w:hAnsi="Times New Roman" w:cs="Times New Roman"/>
          <w:i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442"/>
      </w:tblGrid>
      <w:tr w:rsidR="00D002FE" w:rsidRPr="00D002FE" w14:paraId="0C38CF4C" w14:textId="77777777">
        <w:trPr>
          <w:trHeight w:val="289"/>
        </w:trPr>
        <w:tc>
          <w:tcPr>
            <w:tcW w:w="8442" w:type="dxa"/>
          </w:tcPr>
          <w:p w14:paraId="2592CFC0" w14:textId="77777777" w:rsidR="00D002FE" w:rsidRPr="00D002FE" w:rsidRDefault="00D002FE" w:rsidP="00D002FE">
            <w:pPr>
              <w:autoSpaceDE w:val="0"/>
              <w:autoSpaceDN w:val="0"/>
              <w:adjustRightInd w:val="0"/>
              <w:rPr>
                <w:color w:val="000000"/>
                <w:szCs w:val="24"/>
                <w:lang w:eastAsia="es-ES"/>
              </w:rPr>
            </w:pPr>
            <w:r w:rsidRPr="00D002FE">
              <w:rPr>
                <w:iCs/>
                <w:color w:val="000000"/>
                <w:szCs w:val="24"/>
                <w:lang w:eastAsia="es-ES"/>
              </w:rPr>
              <w:t xml:space="preserve">Según el requisito de permanencia del artículo 27.8 de la citada Ley, la Sociedad debe mantener estas inversiones 5 años desde la fecha de materialización. </w:t>
            </w:r>
          </w:p>
        </w:tc>
      </w:tr>
    </w:tbl>
    <w:p w14:paraId="7A754237" w14:textId="77777777" w:rsidR="00D002FE" w:rsidRPr="00CF418E" w:rsidRDefault="00D002FE" w:rsidP="00730BC1">
      <w:pPr>
        <w:pStyle w:val="Default"/>
        <w:jc w:val="both"/>
        <w:rPr>
          <w:rFonts w:ascii="Times New Roman" w:hAnsi="Times New Roman" w:cs="Times New Roman"/>
          <w:iCs/>
        </w:rPr>
      </w:pPr>
    </w:p>
    <w:p w14:paraId="4E0BC95D" w14:textId="77777777" w:rsidR="001E31E3" w:rsidRDefault="001E31E3" w:rsidP="00730BC1">
      <w:pPr>
        <w:pStyle w:val="Default"/>
        <w:jc w:val="both"/>
        <w:rPr>
          <w:rFonts w:ascii="Times New Roman" w:hAnsi="Times New Roman" w:cs="Times New Roman"/>
          <w:iCs/>
        </w:rPr>
      </w:pPr>
    </w:p>
    <w:p w14:paraId="7F7A2D3D" w14:textId="0519E8FC" w:rsidR="00730BC1" w:rsidRPr="009F62E6" w:rsidRDefault="00730BC1" w:rsidP="00730BC1">
      <w:pPr>
        <w:pStyle w:val="Default"/>
        <w:jc w:val="both"/>
        <w:rPr>
          <w:rFonts w:ascii="Times New Roman" w:hAnsi="Times New Roman" w:cs="Times New Roman"/>
        </w:rPr>
      </w:pPr>
      <w:r w:rsidRPr="009F62E6">
        <w:rPr>
          <w:rFonts w:ascii="Times New Roman" w:hAnsi="Times New Roman" w:cs="Times New Roman"/>
          <w:iCs/>
        </w:rPr>
        <w:t>Las cantidades dotadas a la RIC, los importes materializados en las inversiones re</w:t>
      </w:r>
      <w:r w:rsidR="00B92956" w:rsidRPr="009F62E6">
        <w:rPr>
          <w:rFonts w:ascii="Times New Roman" w:hAnsi="Times New Roman" w:cs="Times New Roman"/>
          <w:iCs/>
        </w:rPr>
        <w:t>alizadas desde el ejercicio 2017</w:t>
      </w:r>
      <w:r w:rsidRPr="009F62E6">
        <w:rPr>
          <w:rFonts w:ascii="Times New Roman" w:hAnsi="Times New Roman" w:cs="Times New Roman"/>
          <w:iCs/>
        </w:rPr>
        <w:t xml:space="preserve">, los importes pendientes de materialización y las cantidades no materializadas por sobrepasar el plazo máximo de materialización son los siguientes: </w:t>
      </w:r>
    </w:p>
    <w:p w14:paraId="0D2687B5" w14:textId="77777777" w:rsidR="00730BC1" w:rsidRPr="009F62E6" w:rsidRDefault="00730BC1" w:rsidP="00473A02">
      <w:pPr>
        <w:jc w:val="both"/>
        <w:rPr>
          <w:bCs/>
          <w:szCs w:val="24"/>
          <w:u w:val="single"/>
        </w:rPr>
      </w:pPr>
    </w:p>
    <w:p w14:paraId="1A30D8B0" w14:textId="77777777" w:rsidR="00730BC1" w:rsidRPr="00BC7C4B" w:rsidRDefault="00730BC1" w:rsidP="00473A02">
      <w:pPr>
        <w:jc w:val="both"/>
        <w:rPr>
          <w:bCs/>
          <w:szCs w:val="24"/>
          <w:highlight w:val="red"/>
          <w:u w:val="single"/>
        </w:rPr>
      </w:pPr>
    </w:p>
    <w:tbl>
      <w:tblPr>
        <w:tblStyle w:val="Tablaconcuadrcula"/>
        <w:tblW w:w="0" w:type="auto"/>
        <w:jc w:val="center"/>
        <w:tblLook w:val="04A0" w:firstRow="1" w:lastRow="0" w:firstColumn="1" w:lastColumn="0" w:noHBand="0" w:noVBand="1"/>
      </w:tblPr>
      <w:tblGrid>
        <w:gridCol w:w="2356"/>
        <w:gridCol w:w="2222"/>
        <w:gridCol w:w="2223"/>
      </w:tblGrid>
      <w:tr w:rsidR="00D002FE" w:rsidRPr="00D002FE" w14:paraId="2E053890" w14:textId="77777777" w:rsidTr="004A5AA8">
        <w:trPr>
          <w:jc w:val="center"/>
        </w:trPr>
        <w:tc>
          <w:tcPr>
            <w:tcW w:w="2356" w:type="dxa"/>
            <w:shd w:val="clear" w:color="auto" w:fill="auto"/>
          </w:tcPr>
          <w:p w14:paraId="5EF598AD" w14:textId="77777777" w:rsidR="00D002FE" w:rsidRPr="00D002FE" w:rsidRDefault="00D002FE" w:rsidP="00B92956">
            <w:pPr>
              <w:jc w:val="center"/>
              <w:rPr>
                <w:b/>
                <w:bCs/>
                <w:sz w:val="20"/>
                <w:szCs w:val="20"/>
              </w:rPr>
            </w:pPr>
            <w:r w:rsidRPr="00D002FE">
              <w:rPr>
                <w:b/>
                <w:bCs/>
                <w:sz w:val="20"/>
                <w:szCs w:val="20"/>
              </w:rPr>
              <w:t>CONCEPTO</w:t>
            </w:r>
          </w:p>
        </w:tc>
        <w:tc>
          <w:tcPr>
            <w:tcW w:w="2222" w:type="dxa"/>
            <w:shd w:val="clear" w:color="auto" w:fill="auto"/>
          </w:tcPr>
          <w:p w14:paraId="0EEEFC4B" w14:textId="77777777" w:rsidR="00D002FE" w:rsidRPr="00D002FE" w:rsidRDefault="00D002FE" w:rsidP="00B92956">
            <w:pPr>
              <w:jc w:val="center"/>
              <w:rPr>
                <w:b/>
                <w:bCs/>
                <w:sz w:val="20"/>
                <w:szCs w:val="20"/>
              </w:rPr>
            </w:pPr>
            <w:r w:rsidRPr="00D002FE">
              <w:rPr>
                <w:b/>
                <w:bCs/>
                <w:sz w:val="20"/>
                <w:szCs w:val="20"/>
              </w:rPr>
              <w:t>RIC 2017</w:t>
            </w:r>
          </w:p>
        </w:tc>
        <w:tc>
          <w:tcPr>
            <w:tcW w:w="2223" w:type="dxa"/>
            <w:shd w:val="clear" w:color="auto" w:fill="auto"/>
          </w:tcPr>
          <w:p w14:paraId="01517BC0" w14:textId="77777777" w:rsidR="00D002FE" w:rsidRPr="001D5262" w:rsidRDefault="00D002FE" w:rsidP="00B92956">
            <w:pPr>
              <w:jc w:val="center"/>
              <w:rPr>
                <w:b/>
                <w:bCs/>
                <w:sz w:val="20"/>
                <w:szCs w:val="20"/>
              </w:rPr>
            </w:pPr>
            <w:r w:rsidRPr="001D5262">
              <w:rPr>
                <w:b/>
                <w:bCs/>
                <w:sz w:val="20"/>
                <w:szCs w:val="20"/>
              </w:rPr>
              <w:t>TOTAL</w:t>
            </w:r>
          </w:p>
        </w:tc>
      </w:tr>
      <w:tr w:rsidR="00D002FE" w:rsidRPr="00D002FE" w14:paraId="1E2960AC" w14:textId="77777777" w:rsidTr="004A5AA8">
        <w:trPr>
          <w:jc w:val="center"/>
        </w:trPr>
        <w:tc>
          <w:tcPr>
            <w:tcW w:w="2356" w:type="dxa"/>
            <w:shd w:val="clear" w:color="auto" w:fill="auto"/>
          </w:tcPr>
          <w:p w14:paraId="1957AE8E" w14:textId="77777777" w:rsidR="00D002FE" w:rsidRPr="00D002FE" w:rsidRDefault="00D002FE" w:rsidP="00473A02">
            <w:pPr>
              <w:jc w:val="both"/>
              <w:rPr>
                <w:bCs/>
                <w:sz w:val="20"/>
                <w:szCs w:val="20"/>
              </w:rPr>
            </w:pPr>
            <w:r w:rsidRPr="00D002FE">
              <w:rPr>
                <w:bCs/>
                <w:sz w:val="20"/>
                <w:szCs w:val="20"/>
              </w:rPr>
              <w:t>Dotación</w:t>
            </w:r>
          </w:p>
        </w:tc>
        <w:tc>
          <w:tcPr>
            <w:tcW w:w="2222" w:type="dxa"/>
            <w:shd w:val="clear" w:color="auto" w:fill="auto"/>
          </w:tcPr>
          <w:p w14:paraId="53D02C14" w14:textId="77777777" w:rsidR="00D002FE" w:rsidRPr="00D002FE" w:rsidRDefault="00D002FE" w:rsidP="00B92956">
            <w:pPr>
              <w:jc w:val="center"/>
              <w:rPr>
                <w:bCs/>
                <w:sz w:val="20"/>
                <w:szCs w:val="20"/>
              </w:rPr>
            </w:pPr>
            <w:r w:rsidRPr="00D002FE">
              <w:rPr>
                <w:bCs/>
                <w:sz w:val="20"/>
                <w:szCs w:val="20"/>
              </w:rPr>
              <w:t>151.276,23</w:t>
            </w:r>
          </w:p>
        </w:tc>
        <w:tc>
          <w:tcPr>
            <w:tcW w:w="2223" w:type="dxa"/>
            <w:shd w:val="clear" w:color="auto" w:fill="auto"/>
          </w:tcPr>
          <w:p w14:paraId="7437DD15" w14:textId="77777777" w:rsidR="00D002FE" w:rsidRPr="001D5262" w:rsidRDefault="00D002FE" w:rsidP="00B92956">
            <w:pPr>
              <w:jc w:val="center"/>
              <w:rPr>
                <w:bCs/>
                <w:sz w:val="20"/>
                <w:szCs w:val="20"/>
              </w:rPr>
            </w:pPr>
            <w:r w:rsidRPr="001D5262">
              <w:rPr>
                <w:bCs/>
                <w:sz w:val="20"/>
                <w:szCs w:val="20"/>
              </w:rPr>
              <w:t>151.276,23</w:t>
            </w:r>
          </w:p>
        </w:tc>
      </w:tr>
      <w:tr w:rsidR="00D002FE" w:rsidRPr="00D002FE" w14:paraId="4AB91D42" w14:textId="77777777" w:rsidTr="004A5AA8">
        <w:trPr>
          <w:jc w:val="center"/>
        </w:trPr>
        <w:tc>
          <w:tcPr>
            <w:tcW w:w="2356" w:type="dxa"/>
            <w:shd w:val="clear" w:color="auto" w:fill="auto"/>
          </w:tcPr>
          <w:p w14:paraId="346E6BA5" w14:textId="77777777" w:rsidR="00D002FE" w:rsidRPr="00D002FE" w:rsidRDefault="00D002FE" w:rsidP="00473A02">
            <w:pPr>
              <w:jc w:val="both"/>
              <w:rPr>
                <w:bCs/>
                <w:sz w:val="20"/>
                <w:szCs w:val="20"/>
              </w:rPr>
            </w:pPr>
            <w:r w:rsidRPr="00D002FE">
              <w:rPr>
                <w:bCs/>
                <w:sz w:val="20"/>
                <w:szCs w:val="20"/>
              </w:rPr>
              <w:t>Materialización</w:t>
            </w:r>
            <w:r>
              <w:rPr>
                <w:bCs/>
                <w:sz w:val="20"/>
                <w:szCs w:val="20"/>
              </w:rPr>
              <w:t xml:space="preserve"> 2018</w:t>
            </w:r>
          </w:p>
        </w:tc>
        <w:tc>
          <w:tcPr>
            <w:tcW w:w="2222" w:type="dxa"/>
            <w:shd w:val="clear" w:color="auto" w:fill="auto"/>
          </w:tcPr>
          <w:p w14:paraId="0B246586" w14:textId="77777777" w:rsidR="00D002FE" w:rsidRPr="00D002FE" w:rsidRDefault="001D5262" w:rsidP="00B92956">
            <w:pPr>
              <w:jc w:val="center"/>
              <w:rPr>
                <w:bCs/>
                <w:sz w:val="20"/>
                <w:szCs w:val="20"/>
              </w:rPr>
            </w:pPr>
            <w:r>
              <w:rPr>
                <w:bCs/>
                <w:sz w:val="20"/>
                <w:szCs w:val="20"/>
              </w:rPr>
              <w:t>29.974,12</w:t>
            </w:r>
          </w:p>
        </w:tc>
        <w:tc>
          <w:tcPr>
            <w:tcW w:w="2223" w:type="dxa"/>
            <w:shd w:val="clear" w:color="auto" w:fill="auto"/>
          </w:tcPr>
          <w:p w14:paraId="0E576B39" w14:textId="77777777" w:rsidR="00D002FE" w:rsidRPr="001D5262" w:rsidRDefault="001D5262" w:rsidP="00B92956">
            <w:pPr>
              <w:jc w:val="center"/>
              <w:rPr>
                <w:bCs/>
                <w:sz w:val="20"/>
                <w:szCs w:val="20"/>
              </w:rPr>
            </w:pPr>
            <w:r w:rsidRPr="001D5262">
              <w:rPr>
                <w:bCs/>
                <w:sz w:val="20"/>
                <w:szCs w:val="20"/>
              </w:rPr>
              <w:t>29.974,12</w:t>
            </w:r>
          </w:p>
        </w:tc>
      </w:tr>
      <w:tr w:rsidR="004A5AA8" w:rsidRPr="00D002FE" w14:paraId="7EE81E3A" w14:textId="77777777" w:rsidTr="004A5AA8">
        <w:trPr>
          <w:jc w:val="center"/>
        </w:trPr>
        <w:tc>
          <w:tcPr>
            <w:tcW w:w="2356" w:type="dxa"/>
            <w:shd w:val="clear" w:color="auto" w:fill="auto"/>
          </w:tcPr>
          <w:p w14:paraId="33363D7B" w14:textId="028934BD" w:rsidR="004A5AA8" w:rsidRPr="00D002FE" w:rsidRDefault="004A5AA8" w:rsidP="00473A02">
            <w:pPr>
              <w:jc w:val="both"/>
              <w:rPr>
                <w:bCs/>
                <w:sz w:val="20"/>
                <w:szCs w:val="20"/>
              </w:rPr>
            </w:pPr>
            <w:r w:rsidRPr="00D002FE">
              <w:rPr>
                <w:bCs/>
                <w:sz w:val="20"/>
                <w:szCs w:val="20"/>
              </w:rPr>
              <w:t>Materialización</w:t>
            </w:r>
            <w:r>
              <w:rPr>
                <w:bCs/>
                <w:sz w:val="20"/>
                <w:szCs w:val="20"/>
              </w:rPr>
              <w:t xml:space="preserve"> 2019</w:t>
            </w:r>
          </w:p>
        </w:tc>
        <w:tc>
          <w:tcPr>
            <w:tcW w:w="2222" w:type="dxa"/>
            <w:shd w:val="clear" w:color="auto" w:fill="auto"/>
          </w:tcPr>
          <w:p w14:paraId="42E17798" w14:textId="64B8DE72" w:rsidR="004A5AA8" w:rsidRDefault="004A5AA8" w:rsidP="00B92956">
            <w:pPr>
              <w:jc w:val="center"/>
              <w:rPr>
                <w:bCs/>
                <w:sz w:val="20"/>
                <w:szCs w:val="20"/>
              </w:rPr>
            </w:pPr>
            <w:r>
              <w:rPr>
                <w:bCs/>
                <w:sz w:val="20"/>
                <w:szCs w:val="20"/>
              </w:rPr>
              <w:t>0</w:t>
            </w:r>
          </w:p>
        </w:tc>
        <w:tc>
          <w:tcPr>
            <w:tcW w:w="2223" w:type="dxa"/>
            <w:shd w:val="clear" w:color="auto" w:fill="auto"/>
          </w:tcPr>
          <w:p w14:paraId="5EB5C8E0" w14:textId="233AA691" w:rsidR="004A5AA8" w:rsidRPr="001D5262" w:rsidRDefault="004A5AA8" w:rsidP="00B92956">
            <w:pPr>
              <w:jc w:val="center"/>
              <w:rPr>
                <w:bCs/>
                <w:sz w:val="20"/>
                <w:szCs w:val="20"/>
              </w:rPr>
            </w:pPr>
            <w:r>
              <w:rPr>
                <w:bCs/>
                <w:sz w:val="20"/>
                <w:szCs w:val="20"/>
              </w:rPr>
              <w:t>0</w:t>
            </w:r>
          </w:p>
        </w:tc>
      </w:tr>
      <w:tr w:rsidR="00297869" w:rsidRPr="00D002FE" w14:paraId="6B4B13BF" w14:textId="77777777" w:rsidTr="004A5AA8">
        <w:trPr>
          <w:jc w:val="center"/>
        </w:trPr>
        <w:tc>
          <w:tcPr>
            <w:tcW w:w="2356" w:type="dxa"/>
            <w:shd w:val="clear" w:color="auto" w:fill="auto"/>
          </w:tcPr>
          <w:p w14:paraId="3DFEFC8C" w14:textId="26C72567" w:rsidR="00297869" w:rsidRPr="00D002FE" w:rsidRDefault="00297869" w:rsidP="00473A02">
            <w:pPr>
              <w:jc w:val="both"/>
              <w:rPr>
                <w:bCs/>
                <w:sz w:val="20"/>
                <w:szCs w:val="20"/>
              </w:rPr>
            </w:pPr>
            <w:r w:rsidRPr="00D002FE">
              <w:rPr>
                <w:bCs/>
                <w:sz w:val="20"/>
                <w:szCs w:val="20"/>
              </w:rPr>
              <w:t>Materialización</w:t>
            </w:r>
            <w:r>
              <w:rPr>
                <w:bCs/>
                <w:sz w:val="20"/>
                <w:szCs w:val="20"/>
              </w:rPr>
              <w:t xml:space="preserve"> 2020</w:t>
            </w:r>
          </w:p>
        </w:tc>
        <w:tc>
          <w:tcPr>
            <w:tcW w:w="2222" w:type="dxa"/>
            <w:shd w:val="clear" w:color="auto" w:fill="auto"/>
          </w:tcPr>
          <w:p w14:paraId="7A2B4F63" w14:textId="40F2A1AE" w:rsidR="00297869" w:rsidRDefault="00297869" w:rsidP="00B92956">
            <w:pPr>
              <w:jc w:val="center"/>
              <w:rPr>
                <w:bCs/>
                <w:sz w:val="20"/>
                <w:szCs w:val="20"/>
              </w:rPr>
            </w:pPr>
            <w:r>
              <w:rPr>
                <w:bCs/>
                <w:sz w:val="20"/>
                <w:szCs w:val="20"/>
              </w:rPr>
              <w:t>0</w:t>
            </w:r>
          </w:p>
        </w:tc>
        <w:tc>
          <w:tcPr>
            <w:tcW w:w="2223" w:type="dxa"/>
            <w:shd w:val="clear" w:color="auto" w:fill="auto"/>
          </w:tcPr>
          <w:p w14:paraId="6A918292" w14:textId="37317211" w:rsidR="00297869" w:rsidRDefault="00297869" w:rsidP="00B92956">
            <w:pPr>
              <w:jc w:val="center"/>
              <w:rPr>
                <w:bCs/>
                <w:sz w:val="20"/>
                <w:szCs w:val="20"/>
              </w:rPr>
            </w:pPr>
            <w:r>
              <w:rPr>
                <w:bCs/>
                <w:sz w:val="20"/>
                <w:szCs w:val="20"/>
              </w:rPr>
              <w:t>0</w:t>
            </w:r>
          </w:p>
        </w:tc>
      </w:tr>
      <w:tr w:rsidR="00D002FE" w:rsidRPr="00B92956" w14:paraId="4833E270" w14:textId="77777777" w:rsidTr="004A5AA8">
        <w:trPr>
          <w:jc w:val="center"/>
        </w:trPr>
        <w:tc>
          <w:tcPr>
            <w:tcW w:w="2356" w:type="dxa"/>
            <w:shd w:val="clear" w:color="auto" w:fill="auto"/>
          </w:tcPr>
          <w:p w14:paraId="3AA4459E" w14:textId="77777777" w:rsidR="00D002FE" w:rsidRPr="00266A3C" w:rsidRDefault="00F44F8B" w:rsidP="00473A02">
            <w:pPr>
              <w:jc w:val="both"/>
              <w:rPr>
                <w:b/>
                <w:sz w:val="20"/>
                <w:szCs w:val="20"/>
              </w:rPr>
            </w:pPr>
            <w:r w:rsidRPr="00266A3C">
              <w:rPr>
                <w:b/>
                <w:sz w:val="20"/>
                <w:szCs w:val="20"/>
              </w:rPr>
              <w:t>Pendiente materializar</w:t>
            </w:r>
          </w:p>
        </w:tc>
        <w:tc>
          <w:tcPr>
            <w:tcW w:w="2222" w:type="dxa"/>
            <w:shd w:val="clear" w:color="auto" w:fill="auto"/>
          </w:tcPr>
          <w:p w14:paraId="4B0F93AB" w14:textId="77777777" w:rsidR="00D002FE" w:rsidRPr="00266A3C" w:rsidRDefault="00D002FE" w:rsidP="00B92956">
            <w:pPr>
              <w:jc w:val="center"/>
              <w:rPr>
                <w:b/>
                <w:sz w:val="20"/>
                <w:szCs w:val="20"/>
              </w:rPr>
            </w:pPr>
          </w:p>
        </w:tc>
        <w:tc>
          <w:tcPr>
            <w:tcW w:w="2223" w:type="dxa"/>
            <w:shd w:val="clear" w:color="auto" w:fill="auto"/>
          </w:tcPr>
          <w:p w14:paraId="2FA0D5B9" w14:textId="77777777" w:rsidR="00D002FE" w:rsidRPr="00266A3C" w:rsidRDefault="00D002FE" w:rsidP="00B92956">
            <w:pPr>
              <w:jc w:val="center"/>
              <w:rPr>
                <w:b/>
                <w:sz w:val="20"/>
                <w:szCs w:val="20"/>
              </w:rPr>
            </w:pPr>
            <w:r w:rsidRPr="00266A3C">
              <w:rPr>
                <w:b/>
                <w:sz w:val="20"/>
                <w:szCs w:val="20"/>
              </w:rPr>
              <w:t>1</w:t>
            </w:r>
            <w:r w:rsidR="001D5262" w:rsidRPr="00266A3C">
              <w:rPr>
                <w:b/>
                <w:sz w:val="20"/>
                <w:szCs w:val="20"/>
              </w:rPr>
              <w:t>21.302,11</w:t>
            </w:r>
          </w:p>
        </w:tc>
      </w:tr>
    </w:tbl>
    <w:p w14:paraId="6A7D42D3" w14:textId="62798FDD" w:rsidR="00612D7A" w:rsidRDefault="00612D7A" w:rsidP="00473A02">
      <w:pPr>
        <w:jc w:val="both"/>
        <w:rPr>
          <w:b/>
          <w:bCs/>
          <w:u w:val="single"/>
        </w:rPr>
      </w:pPr>
    </w:p>
    <w:p w14:paraId="6C90EABF" w14:textId="0E8A9CF2" w:rsidR="00612D7A" w:rsidRDefault="00612D7A" w:rsidP="00473A02">
      <w:pPr>
        <w:jc w:val="both"/>
        <w:rPr>
          <w:b/>
          <w:bCs/>
          <w:u w:val="single"/>
        </w:rPr>
      </w:pPr>
    </w:p>
    <w:p w14:paraId="76B3B79E" w14:textId="77777777" w:rsidR="00612D7A" w:rsidRDefault="00612D7A" w:rsidP="00473A02">
      <w:pPr>
        <w:jc w:val="both"/>
        <w:rPr>
          <w:b/>
          <w:bCs/>
          <w:u w:val="single"/>
        </w:rPr>
      </w:pPr>
    </w:p>
    <w:p w14:paraId="0D150B87" w14:textId="35BCF03F" w:rsidR="00F76286" w:rsidRPr="00897D45" w:rsidRDefault="00F76286" w:rsidP="00F76286">
      <w:pPr>
        <w:jc w:val="both"/>
        <w:rPr>
          <w:b/>
          <w:bCs/>
          <w:u w:val="single"/>
          <w:lang w:val="es-ES_tradnl"/>
        </w:rPr>
      </w:pPr>
      <w:bookmarkStart w:id="6" w:name="_Hlk76827815"/>
      <w:r>
        <w:rPr>
          <w:b/>
          <w:bCs/>
          <w:u w:val="single"/>
          <w:lang w:val="es-ES_tradnl"/>
        </w:rPr>
        <w:t>13</w:t>
      </w:r>
      <w:r w:rsidRPr="00897D45">
        <w:rPr>
          <w:b/>
          <w:bCs/>
          <w:u w:val="single"/>
          <w:lang w:val="es-ES_tradnl"/>
        </w:rPr>
        <w:t xml:space="preserve">- </w:t>
      </w:r>
      <w:r>
        <w:rPr>
          <w:b/>
          <w:bCs/>
          <w:u w:val="single"/>
          <w:lang w:val="es-ES_tradnl"/>
        </w:rPr>
        <w:t>Operaciones vinculadas</w:t>
      </w:r>
    </w:p>
    <w:bookmarkEnd w:id="6"/>
    <w:p w14:paraId="1B62E124" w14:textId="77777777" w:rsidR="00F76286" w:rsidRDefault="00F76286" w:rsidP="002373EA">
      <w:pPr>
        <w:jc w:val="both"/>
        <w:rPr>
          <w:b/>
          <w:bCs/>
          <w:u w:val="single"/>
          <w:lang w:val="es-ES_tradnl"/>
        </w:rPr>
      </w:pPr>
    </w:p>
    <w:p w14:paraId="000A3A01" w14:textId="4300B344" w:rsidR="00F76286" w:rsidRPr="00F76286" w:rsidRDefault="00F76286" w:rsidP="002373EA">
      <w:pPr>
        <w:jc w:val="both"/>
        <w:rPr>
          <w:lang w:val="es-ES_tradnl"/>
        </w:rPr>
      </w:pPr>
      <w:bookmarkStart w:id="7" w:name="_Hlk76827830"/>
      <w:r>
        <w:rPr>
          <w:lang w:val="es-ES_tradnl"/>
        </w:rPr>
        <w:t>A 31 de diciembre hay un saldo de 10.000€ a favor de Don Alfonso Villarrubia Mediavilla por transferencia realizada a favor de esta empresa.</w:t>
      </w:r>
    </w:p>
    <w:bookmarkEnd w:id="7"/>
    <w:p w14:paraId="3099F7C8" w14:textId="77777777" w:rsidR="00F76286" w:rsidRDefault="00F76286" w:rsidP="002373EA">
      <w:pPr>
        <w:jc w:val="both"/>
        <w:rPr>
          <w:b/>
          <w:bCs/>
          <w:u w:val="single"/>
          <w:lang w:val="es-ES_tradnl"/>
        </w:rPr>
      </w:pPr>
    </w:p>
    <w:p w14:paraId="04B0C030" w14:textId="235FE326" w:rsidR="002373EA" w:rsidRPr="00897D45" w:rsidRDefault="0059681F" w:rsidP="002373EA">
      <w:pPr>
        <w:jc w:val="both"/>
        <w:rPr>
          <w:b/>
          <w:bCs/>
          <w:u w:val="single"/>
          <w:lang w:val="es-ES_tradnl"/>
        </w:rPr>
      </w:pPr>
      <w:r>
        <w:rPr>
          <w:b/>
          <w:bCs/>
          <w:u w:val="single"/>
          <w:lang w:val="es-ES_tradnl"/>
        </w:rPr>
        <w:t>1</w:t>
      </w:r>
      <w:r w:rsidR="00F76286">
        <w:rPr>
          <w:b/>
          <w:bCs/>
          <w:u w:val="single"/>
          <w:lang w:val="es-ES_tradnl"/>
        </w:rPr>
        <w:t>4</w:t>
      </w:r>
      <w:r w:rsidR="002373EA" w:rsidRPr="00897D45">
        <w:rPr>
          <w:b/>
          <w:bCs/>
          <w:u w:val="single"/>
          <w:lang w:val="es-ES_tradnl"/>
        </w:rPr>
        <w:t>- Acontecimientos posteriores al cierre del ejercicio</w:t>
      </w:r>
    </w:p>
    <w:p w14:paraId="0BC9ACDC" w14:textId="77777777" w:rsidR="002373EA" w:rsidRPr="00897D45" w:rsidRDefault="002373EA" w:rsidP="00881E6B">
      <w:pPr>
        <w:tabs>
          <w:tab w:val="left" w:pos="3300"/>
        </w:tabs>
        <w:jc w:val="both"/>
        <w:rPr>
          <w:lang w:val="es-ES_tradnl"/>
        </w:rPr>
      </w:pPr>
      <w:r w:rsidRPr="00897D45">
        <w:rPr>
          <w:lang w:val="es-ES_tradnl"/>
        </w:rPr>
        <w:t> </w:t>
      </w:r>
      <w:r w:rsidR="00881E6B">
        <w:rPr>
          <w:lang w:val="es-ES_tradnl"/>
        </w:rPr>
        <w:tab/>
      </w:r>
    </w:p>
    <w:p w14:paraId="52F928F8" w14:textId="77777777" w:rsidR="002373EA" w:rsidRDefault="002373EA" w:rsidP="00CF7EBD">
      <w:pPr>
        <w:jc w:val="both"/>
        <w:rPr>
          <w:lang w:val="es-ES_tradnl"/>
        </w:rPr>
      </w:pPr>
      <w:r w:rsidRPr="00897D45">
        <w:rPr>
          <w:lang w:val="es-ES_tradnl"/>
        </w:rPr>
        <w:t>No se han producido hechos o transacciones significativos con posterioridad al cierre del ejercicio.</w:t>
      </w:r>
    </w:p>
    <w:p w14:paraId="44ABD378" w14:textId="77777777" w:rsidR="009F62E6" w:rsidRPr="002C7599" w:rsidRDefault="009F62E6" w:rsidP="00CF7EBD">
      <w:pPr>
        <w:jc w:val="both"/>
        <w:rPr>
          <w:lang w:val="es-ES_tradnl"/>
        </w:rPr>
      </w:pPr>
    </w:p>
    <w:sectPr w:rsidR="009F62E6" w:rsidRPr="002C7599" w:rsidSect="00895E96">
      <w:headerReference w:type="default" r:id="rId8"/>
      <w:footerReference w:type="default" r:id="rId9"/>
      <w:pgSz w:w="12240" w:h="15840"/>
      <w:pgMar w:top="1417" w:right="1701" w:bottom="1417" w:left="1843" w:header="56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092CD" w14:textId="77777777" w:rsidR="00AC1879" w:rsidRDefault="00AC1879">
      <w:pPr>
        <w:pStyle w:val="Tabladeilustraciones"/>
        <w:pPrChange w:id="2" w:author="mcardona" w:date="2009-06-08T14:01:00Z">
          <w:pPr/>
        </w:pPrChange>
      </w:pPr>
      <w:r>
        <w:separator/>
      </w:r>
    </w:p>
  </w:endnote>
  <w:endnote w:type="continuationSeparator" w:id="0">
    <w:p w14:paraId="4FCCAFB0" w14:textId="77777777" w:rsidR="00AC1879" w:rsidRDefault="00AC1879">
      <w:pPr>
        <w:pStyle w:val="Tabladeilustraciones"/>
        <w:pPrChange w:id="3" w:author="mcardona" w:date="2009-06-08T14:01: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79705" w14:textId="77777777" w:rsidR="00AC1879" w:rsidRPr="00660C80" w:rsidRDefault="00AC1879" w:rsidP="00660C80">
    <w:pPr>
      <w:pStyle w:val="Piedepgina"/>
      <w:rPr>
        <w:b/>
        <w:bCs/>
        <w:sz w:val="16"/>
        <w:szCs w:val="16"/>
      </w:rPr>
    </w:pPr>
  </w:p>
  <w:p w14:paraId="13897B67" w14:textId="66686931" w:rsidR="00AC1879" w:rsidRPr="00660C80" w:rsidRDefault="00AC1879" w:rsidP="00660C80">
    <w:pPr>
      <w:pStyle w:val="Piedepgina"/>
      <w:rPr>
        <w:b/>
        <w:bCs/>
        <w:sz w:val="20"/>
        <w:szCs w:val="20"/>
      </w:rPr>
    </w:pPr>
    <w:r w:rsidRPr="00AE2A55">
      <w:rPr>
        <w:b/>
        <w:noProof/>
        <w:lang w:val="en-US"/>
      </w:rPr>
      <mc:AlternateContent>
        <mc:Choice Requires="wps">
          <w:drawing>
            <wp:anchor distT="0" distB="0" distL="114300" distR="114300" simplePos="0" relativeHeight="251658240" behindDoc="0" locked="0" layoutInCell="0" allowOverlap="1" wp14:anchorId="7D8FC62A" wp14:editId="0FB22814">
              <wp:simplePos x="0" y="0"/>
              <wp:positionH relativeFrom="column">
                <wp:posOffset>-3810</wp:posOffset>
              </wp:positionH>
              <wp:positionV relativeFrom="paragraph">
                <wp:posOffset>12065</wp:posOffset>
              </wp:positionV>
              <wp:extent cx="5634990" cy="0"/>
              <wp:effectExtent l="5715" t="12065" r="762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4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820F90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5pt" to="44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Zqy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ibT/PlEk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DDhwiz2QAAAAUBAAAPAAAAZHJzL2Rvd25yZXYueG1sTI/BTsMwEETvSPyDtUhcqtahSFGa&#10;xqkQkBsXWhDXbbwkEfE6jd028PUsXOA4O6PZN8Vmcr060Rg6zwZuFgko4trbjhsDL7tqnoEKEdli&#10;75kMfFKATXl5UWBu/Zmf6bSNjZISDjkaaGMccq1D3ZLDsPADsXjvfnQYRY6NtiOepdz1epkkqXbY&#10;sXxocaD7luqP7dEZCNUrHaqvWT1L3m4bT8vDw9MjGnN9Nd2tQUWa4l8YfvAFHUph2vsj26B6A/NU&#10;gnJegRI3y1IZsv/Vuiz0f/ryGwAA//8DAFBLAQItABQABgAIAAAAIQC2gziS/gAAAOEBAAATAAAA&#10;AAAAAAAAAAAAAAAAAABbQ29udGVudF9UeXBlc10ueG1sUEsBAi0AFAAGAAgAAAAhADj9If/WAAAA&#10;lAEAAAsAAAAAAAAAAAAAAAAALwEAAF9yZWxzLy5yZWxzUEsBAi0AFAAGAAgAAAAhABzlmrIRAgAA&#10;KAQAAA4AAAAAAAAAAAAAAAAALgIAAGRycy9lMm9Eb2MueG1sUEsBAi0AFAAGAAgAAAAhAMOHCLPZ&#10;AAAABQEAAA8AAAAAAAAAAAAAAAAAawQAAGRycy9kb3ducmV2LnhtbFBLBQYAAAAABAAEAPMAAABx&#10;BQAAAAA=&#10;" o:allowincell="f"/>
          </w:pict>
        </mc:Fallback>
      </mc:AlternateContent>
    </w:r>
    <w:r w:rsidRPr="00AE2A55">
      <w:rPr>
        <w:b/>
        <w:bCs/>
        <w:sz w:val="20"/>
        <w:szCs w:val="20"/>
      </w:rPr>
      <w:t>Fecha</w:t>
    </w:r>
    <w:r w:rsidRPr="00E554D9">
      <w:rPr>
        <w:b/>
        <w:bCs/>
        <w:sz w:val="20"/>
        <w:szCs w:val="20"/>
      </w:rPr>
      <w:t xml:space="preserve">: </w:t>
    </w:r>
    <w:r w:rsidR="00E554D9" w:rsidRPr="00E554D9">
      <w:rPr>
        <w:b/>
        <w:bCs/>
        <w:sz w:val="20"/>
        <w:szCs w:val="20"/>
      </w:rPr>
      <w:t>12</w:t>
    </w:r>
    <w:r w:rsidRPr="00E554D9">
      <w:rPr>
        <w:b/>
        <w:bCs/>
        <w:sz w:val="20"/>
        <w:szCs w:val="20"/>
      </w:rPr>
      <w:t xml:space="preserve"> de ju</w:t>
    </w:r>
    <w:r w:rsidR="00E554D9" w:rsidRPr="00E554D9">
      <w:rPr>
        <w:b/>
        <w:bCs/>
        <w:sz w:val="20"/>
        <w:szCs w:val="20"/>
      </w:rPr>
      <w:t>lio</w:t>
    </w:r>
    <w:r w:rsidRPr="00E554D9">
      <w:rPr>
        <w:b/>
        <w:bCs/>
        <w:sz w:val="20"/>
        <w:szCs w:val="20"/>
      </w:rPr>
      <w:t xml:space="preserve"> de 202</w:t>
    </w:r>
    <w:r w:rsidR="00E554D9" w:rsidRPr="00E554D9">
      <w:rPr>
        <w:b/>
        <w:bCs/>
        <w:sz w:val="20"/>
        <w:szCs w:val="20"/>
      </w:rPr>
      <w:t>1</w:t>
    </w:r>
    <w:r w:rsidRPr="00660C80">
      <w:rPr>
        <w:b/>
        <w:bCs/>
        <w:sz w:val="20"/>
        <w:szCs w:val="20"/>
      </w:rPr>
      <w:tab/>
    </w:r>
    <w:r w:rsidRPr="00660C80">
      <w:rPr>
        <w:b/>
        <w:bCs/>
        <w:sz w:val="20"/>
        <w:szCs w:val="20"/>
      </w:rPr>
      <w:tab/>
      <w:t xml:space="preserve"> Página: </w:t>
    </w:r>
    <w:r w:rsidRPr="00660C80">
      <w:rPr>
        <w:rStyle w:val="Nmerodepgina"/>
        <w:b/>
        <w:sz w:val="20"/>
        <w:szCs w:val="20"/>
      </w:rPr>
      <w:fldChar w:fldCharType="begin"/>
    </w:r>
    <w:r w:rsidRPr="00660C80">
      <w:rPr>
        <w:rStyle w:val="Nmerodepgina"/>
        <w:b/>
        <w:sz w:val="20"/>
        <w:szCs w:val="20"/>
      </w:rPr>
      <w:instrText xml:space="preserve"> PAGE </w:instrText>
    </w:r>
    <w:r w:rsidRPr="00660C80">
      <w:rPr>
        <w:rStyle w:val="Nmerodepgina"/>
        <w:b/>
        <w:sz w:val="20"/>
        <w:szCs w:val="20"/>
      </w:rPr>
      <w:fldChar w:fldCharType="separate"/>
    </w:r>
    <w:r>
      <w:rPr>
        <w:rStyle w:val="Nmerodepgina"/>
        <w:b/>
        <w:noProof/>
        <w:sz w:val="20"/>
        <w:szCs w:val="20"/>
      </w:rPr>
      <w:t>1</w:t>
    </w:r>
    <w:r w:rsidRPr="00660C80">
      <w:rPr>
        <w:rStyle w:val="Nmerodepgina"/>
        <w:b/>
        <w:sz w:val="20"/>
        <w:szCs w:val="20"/>
      </w:rPr>
      <w:fldChar w:fldCharType="end"/>
    </w:r>
  </w:p>
  <w:p w14:paraId="1C4FD711" w14:textId="77777777" w:rsidR="00AC1879" w:rsidRPr="00660C80" w:rsidRDefault="00AC1879" w:rsidP="00660C80">
    <w:pPr>
      <w:pStyle w:val="Piedepgina"/>
      <w:rPr>
        <w:b/>
        <w:bCs/>
        <w:sz w:val="20"/>
        <w:szCs w:val="20"/>
      </w:rPr>
    </w:pPr>
    <w:r w:rsidRPr="00660C80">
      <w:rPr>
        <w:b/>
        <w:bCs/>
        <w:sz w:val="20"/>
        <w:szCs w:val="20"/>
      </w:rPr>
      <w:tab/>
    </w:r>
  </w:p>
  <w:p w14:paraId="3DFA66F1" w14:textId="77777777" w:rsidR="00AC1879" w:rsidRDefault="00AC1879" w:rsidP="005E0E1C">
    <w:pPr>
      <w:pStyle w:val="Piedepgina"/>
      <w:rPr>
        <w:b/>
        <w:bCs/>
        <w:sz w:val="20"/>
        <w:szCs w:val="20"/>
      </w:rPr>
    </w:pPr>
    <w:r w:rsidRPr="004206D6">
      <w:rPr>
        <w:b/>
        <w:bCs/>
        <w:sz w:val="20"/>
        <w:szCs w:val="20"/>
      </w:rPr>
      <w:t>Nombre: D. CESAR</w:t>
    </w:r>
    <w:r>
      <w:rPr>
        <w:b/>
        <w:bCs/>
        <w:sz w:val="20"/>
        <w:szCs w:val="20"/>
      </w:rPr>
      <w:t xml:space="preserve"> MANUEL</w:t>
    </w:r>
    <w:r w:rsidRPr="004206D6">
      <w:rPr>
        <w:b/>
        <w:bCs/>
        <w:sz w:val="20"/>
        <w:szCs w:val="20"/>
      </w:rPr>
      <w:t xml:space="preserve"> DIEZ CORREA</w:t>
    </w:r>
    <w:r>
      <w:rPr>
        <w:b/>
        <w:bCs/>
        <w:sz w:val="20"/>
        <w:szCs w:val="20"/>
      </w:rPr>
      <w:t xml:space="preserve"> Y DOÑA OLGA POSADA PEREZ</w:t>
    </w:r>
  </w:p>
  <w:p w14:paraId="4A4BF521" w14:textId="77777777" w:rsidR="00AC1879" w:rsidRDefault="00AC1879" w:rsidP="005E0E1C">
    <w:pPr>
      <w:pStyle w:val="Piedepgina"/>
      <w:rPr>
        <w:b/>
        <w:bCs/>
        <w:sz w:val="20"/>
        <w:szCs w:val="20"/>
      </w:rPr>
    </w:pPr>
    <w:r>
      <w:rPr>
        <w:b/>
        <w:bCs/>
        <w:sz w:val="20"/>
        <w:szCs w:val="20"/>
      </w:rPr>
      <w:t>DNI: 42625285-Y  y 12686826-A</w:t>
    </w:r>
  </w:p>
  <w:p w14:paraId="5F07DB10" w14:textId="77777777" w:rsidR="00AC1879" w:rsidRDefault="00AC1879" w:rsidP="005E0E1C">
    <w:pPr>
      <w:pStyle w:val="Piedepgina"/>
      <w:rPr>
        <w:b/>
      </w:rPr>
    </w:pPr>
    <w:r>
      <w:rPr>
        <w:b/>
        <w:bCs/>
        <w:sz w:val="20"/>
        <w:szCs w:val="20"/>
      </w:rPr>
      <w:t xml:space="preserve">PRESIDENTE Y SECRETARIA DEL CONSEJO </w:t>
    </w:r>
  </w:p>
  <w:p w14:paraId="4B6BDA1D" w14:textId="77777777" w:rsidR="00AC1879" w:rsidRPr="00660C80" w:rsidRDefault="00AC1879">
    <w:pPr>
      <w:pStyle w:val="Piedepgin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C8474" w14:textId="77777777" w:rsidR="00AC1879" w:rsidRDefault="00AC1879">
      <w:pPr>
        <w:pStyle w:val="Tabladeilustraciones"/>
        <w:pPrChange w:id="0" w:author="mcardona" w:date="2009-06-08T14:01:00Z">
          <w:pPr/>
        </w:pPrChange>
      </w:pPr>
      <w:r>
        <w:separator/>
      </w:r>
    </w:p>
  </w:footnote>
  <w:footnote w:type="continuationSeparator" w:id="0">
    <w:p w14:paraId="620F7553" w14:textId="77777777" w:rsidR="00AC1879" w:rsidRDefault="00AC1879">
      <w:pPr>
        <w:pStyle w:val="Tabladeilustraciones"/>
        <w:pPrChange w:id="1" w:author="mcardona" w:date="2009-06-08T14:01: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4247E" w14:textId="77777777" w:rsidR="00AC1879" w:rsidRPr="000B0A3D" w:rsidRDefault="00AC1879" w:rsidP="00660C80">
    <w:pPr>
      <w:pStyle w:val="Encabezado"/>
      <w:jc w:val="center"/>
      <w:rPr>
        <w:b/>
        <w:sz w:val="20"/>
        <w:szCs w:val="20"/>
        <w:lang w:val="en-US"/>
      </w:rPr>
    </w:pPr>
    <w:r w:rsidRPr="000B0A3D">
      <w:rPr>
        <w:b/>
        <w:sz w:val="20"/>
        <w:szCs w:val="20"/>
        <w:lang w:val="en-US"/>
      </w:rPr>
      <w:t>MEMORIA PYMES</w:t>
    </w:r>
  </w:p>
  <w:p w14:paraId="3CD8C606" w14:textId="77777777" w:rsidR="00AC1879" w:rsidRPr="000B0A3D" w:rsidRDefault="00AC1879" w:rsidP="00660C80">
    <w:pPr>
      <w:pStyle w:val="Encabezado"/>
      <w:rPr>
        <w:b/>
        <w:sz w:val="20"/>
        <w:szCs w:val="20"/>
        <w:lang w:val="en-US"/>
      </w:rPr>
    </w:pPr>
  </w:p>
  <w:p w14:paraId="63319C42" w14:textId="77777777" w:rsidR="00AC1879" w:rsidRPr="000B0A3D" w:rsidRDefault="00AC1879" w:rsidP="00F472CA">
    <w:pPr>
      <w:pStyle w:val="Encabezado"/>
      <w:rPr>
        <w:b/>
        <w:sz w:val="20"/>
        <w:szCs w:val="20"/>
        <w:lang w:val="en-US"/>
      </w:rPr>
    </w:pPr>
    <w:r>
      <w:rPr>
        <w:b/>
        <w:sz w:val="20"/>
        <w:szCs w:val="20"/>
        <w:lang w:val="en-US"/>
      </w:rPr>
      <w:t xml:space="preserve">  </w:t>
    </w:r>
    <w:proofErr w:type="spellStart"/>
    <w:r>
      <w:rPr>
        <w:b/>
        <w:sz w:val="20"/>
        <w:szCs w:val="20"/>
        <w:lang w:val="en-US"/>
      </w:rPr>
      <w:t>Empresa</w:t>
    </w:r>
    <w:proofErr w:type="spellEnd"/>
    <w:r>
      <w:rPr>
        <w:b/>
        <w:sz w:val="20"/>
        <w:szCs w:val="20"/>
        <w:lang w:val="en-US"/>
      </w:rPr>
      <w:t xml:space="preserve">: </w:t>
    </w:r>
    <w:r w:rsidRPr="000B0A3D">
      <w:rPr>
        <w:b/>
        <w:sz w:val="20"/>
        <w:szCs w:val="20"/>
        <w:lang w:val="en-US"/>
      </w:rPr>
      <w:t>SHIP´S MASTER S.L.</w:t>
    </w:r>
  </w:p>
  <w:p w14:paraId="01448625" w14:textId="77777777" w:rsidR="00AC1879" w:rsidRPr="000B0A3D" w:rsidRDefault="00AC1879" w:rsidP="00660C80">
    <w:pPr>
      <w:pStyle w:val="Encabezado"/>
      <w:rPr>
        <w:b/>
        <w:sz w:val="20"/>
        <w:szCs w:val="20"/>
        <w:lang w:val="en-US"/>
      </w:rPr>
    </w:pPr>
  </w:p>
  <w:p w14:paraId="00C7969F" w14:textId="03EA07A4" w:rsidR="00CA721D" w:rsidRPr="00660C80" w:rsidRDefault="00AC1879" w:rsidP="00DE5F5D">
    <w:pPr>
      <w:pStyle w:val="Encabezado"/>
      <w:tabs>
        <w:tab w:val="left" w:pos="7371"/>
        <w:tab w:val="left" w:pos="7797"/>
      </w:tabs>
      <w:rPr>
        <w:b/>
        <w:sz w:val="20"/>
        <w:szCs w:val="20"/>
      </w:rPr>
    </w:pPr>
    <w:r w:rsidRPr="000B0A3D">
      <w:rPr>
        <w:b/>
        <w:sz w:val="20"/>
        <w:szCs w:val="20"/>
        <w:lang w:val="en-US"/>
      </w:rPr>
      <w:t xml:space="preserve">  </w:t>
    </w:r>
    <w:r>
      <w:rPr>
        <w:b/>
        <w:sz w:val="20"/>
        <w:szCs w:val="20"/>
      </w:rPr>
      <w:t>C.I.F: B35311109</w:t>
    </w:r>
    <w:r>
      <w:rPr>
        <w:b/>
        <w:sz w:val="20"/>
        <w:szCs w:val="20"/>
      </w:rPr>
      <w:tab/>
    </w:r>
    <w:r>
      <w:rPr>
        <w:b/>
        <w:sz w:val="20"/>
        <w:szCs w:val="20"/>
      </w:rPr>
      <w:tab/>
      <w:t>Ejercicio 20</w:t>
    </w:r>
    <w:r w:rsidR="00CA721D">
      <w:rPr>
        <w:b/>
        <w:sz w:val="20"/>
        <w:szCs w:val="20"/>
      </w:rPr>
      <w:t>20</w:t>
    </w:r>
  </w:p>
  <w:p w14:paraId="329249A5" w14:textId="77777777" w:rsidR="00AC1879" w:rsidRPr="00660C80" w:rsidRDefault="00AC1879">
    <w:pPr>
      <w:pStyle w:val="Encabezado"/>
      <w:rPr>
        <w:sz w:val="16"/>
        <w:szCs w:val="16"/>
      </w:rPr>
    </w:pPr>
    <w:r>
      <w:rPr>
        <w:b/>
        <w:noProof/>
        <w:sz w:val="16"/>
        <w:szCs w:val="16"/>
      </w:rPr>
      <mc:AlternateContent>
        <mc:Choice Requires="wps">
          <w:drawing>
            <wp:anchor distT="0" distB="0" distL="114300" distR="114300" simplePos="0" relativeHeight="251657216" behindDoc="0" locked="0" layoutInCell="0" allowOverlap="1" wp14:anchorId="28FBABE3" wp14:editId="59FDED91">
              <wp:simplePos x="0" y="0"/>
              <wp:positionH relativeFrom="column">
                <wp:posOffset>-3810</wp:posOffset>
              </wp:positionH>
              <wp:positionV relativeFrom="paragraph">
                <wp:posOffset>17145</wp:posOffset>
              </wp:positionV>
              <wp:extent cx="5581650" cy="0"/>
              <wp:effectExtent l="5715" t="7620" r="13335"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0BF3918"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5pt" to="43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09EwIAACgEAAAOAAAAZHJzL2Uyb0RvYy54bWysU8uu2jAQ3VfqP1jeQxKaUIgIV1UC3dBe&#10;pHv7AcZ2iFXHtmxDQFX/vWPzaGk3VdUsHD/OHJ+ZM148nXqJjtw6oVWFs3GKEVdUM6H2Ff7yuh7N&#10;MHKeKEakVrzCZ+7w0/Ltm8VgSj7RnZaMWwQkypWDqXDnvSmTxNGO98SNteEKDltte+JhafcJs2QA&#10;9l4mkzSdJoO2zFhNuXOw21wO8TLyty2n/rltHfdIVhi0+TjaOO7CmCwXpNxbYjpBrzLIP6joiVBw&#10;6Z2qIZ6ggxV/UPWCWu1068dU94luW0F5zAGyydLfsnnpiOExFyiOM/cyuf9HSz8ftxYJVuEJRor0&#10;YNFGKI6yUJnBuBIAtdrakBs9qRez0fSrQ0rXHVF7HhW+ng2ExYjkISQsnAH+3fBJM8CQg9exTKfW&#10;9oESCoBO0Y3z3Q1+8ojCZlHMsmkBptHbWULKW6Cxzn/kukdhUmEJmiMxOW6cB+kAvUHCPUqvhZTR&#10;bKnQUOF5MSligNNSsHAYYM7ud7W06EhCu8Qv1AHIHmBWHxSLZB0nbHWdeyLkZQ54qQIfpAJyrrNL&#10;P3ybp/PVbDXLR/lkuhrladOMPqzrfDRdZ++L5l1T1032PUjL8rITjHEV1N16M8v/zvvrK7l01b07&#10;72VIHtljiiD29o+io5fBvksj7DQ7b22oRrAV2jGCr08n9Puv64j6+cCXPwAAAP//AwBQSwMEFAAG&#10;AAgAAAAhAINXbuLaAAAABQEAAA8AAABkcnMvZG93bnJldi54bWxMjsFOwzAQRO9I/IO1SFyq1iGg&#10;NgrZVAjIjQsFxHUbL0lEvE5jtw18PaYXOI5m9OYV68n26sCj75wgXC0SUCy1M500CK8v1TwD5QOJ&#10;od4JI3yxh3V5flZQbtxRnvmwCY2KEPE5IbQhDLnWvm7Zkl+4gSV2H260FGIcG21GOka47XWaJEtt&#10;qZP40NLA9y3Xn5u9RfDVG++q71k9S96vG8fp7uHpkRAvL6a7W1CBp/A3hl/9qA5ldNq6vRiveoT5&#10;Mg4R0hWo2Gar7AbU9pR1Wej/9uUPAAAA//8DAFBLAQItABQABgAIAAAAIQC2gziS/gAAAOEBAAAT&#10;AAAAAAAAAAAAAAAAAAAAAABbQ29udGVudF9UeXBlc10ueG1sUEsBAi0AFAAGAAgAAAAhADj9If/W&#10;AAAAlAEAAAsAAAAAAAAAAAAAAAAALwEAAF9yZWxzLy5yZWxzUEsBAi0AFAAGAAgAAAAhALLcLT0T&#10;AgAAKAQAAA4AAAAAAAAAAAAAAAAALgIAAGRycy9lMm9Eb2MueG1sUEsBAi0AFAAGAAgAAAAhAINX&#10;buLaAAAABQEAAA8AAAAAAAAAAAAAAAAAbQQAAGRycy9kb3ducmV2LnhtbFBLBQYAAAAABAAEAPMA&#10;AAB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928A386"/>
    <w:lvl w:ilvl="0">
      <w:start w:val="1"/>
      <w:numFmt w:val="decimal"/>
      <w:pStyle w:val="Listaconnmeros"/>
      <w:lvlText w:val="%1."/>
      <w:lvlJc w:val="left"/>
      <w:pPr>
        <w:tabs>
          <w:tab w:val="num" w:pos="360"/>
        </w:tabs>
        <w:ind w:left="360" w:hanging="360"/>
      </w:pPr>
    </w:lvl>
  </w:abstractNum>
  <w:abstractNum w:abstractNumId="1" w15:restartNumberingAfterBreak="0">
    <w:nsid w:val="03725B82"/>
    <w:multiLevelType w:val="hybridMultilevel"/>
    <w:tmpl w:val="1C986300"/>
    <w:lvl w:ilvl="0" w:tplc="19D2FAEE">
      <w:start w:val="7"/>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AD1F2B"/>
    <w:multiLevelType w:val="hybridMultilevel"/>
    <w:tmpl w:val="28047162"/>
    <w:lvl w:ilvl="0" w:tplc="52B0853E">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33DE8"/>
    <w:multiLevelType w:val="multilevel"/>
    <w:tmpl w:val="5AEC8C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FF4EE4"/>
    <w:multiLevelType w:val="hybridMultilevel"/>
    <w:tmpl w:val="6AE66D6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8162B"/>
    <w:multiLevelType w:val="hybridMultilevel"/>
    <w:tmpl w:val="6D8C01CE"/>
    <w:lvl w:ilvl="0" w:tplc="3C645B48">
      <w:start w:val="1"/>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65CEE"/>
    <w:multiLevelType w:val="hybridMultilevel"/>
    <w:tmpl w:val="2716C18E"/>
    <w:lvl w:ilvl="0" w:tplc="8B8E5A5E">
      <w:start w:val="7"/>
      <w:numFmt w:val="decimal"/>
      <w:lvlText w:val="%1."/>
      <w:lvlJc w:val="left"/>
      <w:pPr>
        <w:ind w:left="502"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0356969"/>
    <w:multiLevelType w:val="hybridMultilevel"/>
    <w:tmpl w:val="4A68FE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881F41"/>
    <w:multiLevelType w:val="hybridMultilevel"/>
    <w:tmpl w:val="2716C18E"/>
    <w:lvl w:ilvl="0" w:tplc="8B8E5A5E">
      <w:start w:val="7"/>
      <w:numFmt w:val="decimal"/>
      <w:lvlText w:val="%1."/>
      <w:lvlJc w:val="left"/>
      <w:pPr>
        <w:ind w:left="502"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137F19BB"/>
    <w:multiLevelType w:val="hybridMultilevel"/>
    <w:tmpl w:val="03B475AE"/>
    <w:lvl w:ilvl="0" w:tplc="25CA0C94">
      <w:start w:val="1"/>
      <w:numFmt w:val="upperLetter"/>
      <w:lvlText w:val="%1)"/>
      <w:lvlJc w:val="left"/>
      <w:pPr>
        <w:ind w:left="360" w:hanging="360"/>
      </w:pPr>
      <w:rPr>
        <w:color w:val="FF000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0" w15:restartNumberingAfterBreak="0">
    <w:nsid w:val="1B362524"/>
    <w:multiLevelType w:val="hybridMultilevel"/>
    <w:tmpl w:val="774E4750"/>
    <w:lvl w:ilvl="0" w:tplc="AD8EB5E8">
      <w:start w:val="1"/>
      <w:numFmt w:val="decimal"/>
      <w:lvlText w:val="7.%1"/>
      <w:lvlJc w:val="left"/>
      <w:pPr>
        <w:ind w:left="360" w:hanging="360"/>
      </w:pPr>
      <w:rPr>
        <w:rFonts w:ascii="Times New Roman" w:hAnsi="Times New Roman"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04AFE"/>
    <w:multiLevelType w:val="multilevel"/>
    <w:tmpl w:val="875EC09E"/>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0AD402D"/>
    <w:multiLevelType w:val="hybridMultilevel"/>
    <w:tmpl w:val="677A13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75D6567"/>
    <w:multiLevelType w:val="hybridMultilevel"/>
    <w:tmpl w:val="674EAD90"/>
    <w:lvl w:ilvl="0" w:tplc="52060DE4">
      <w:start w:val="5"/>
      <w:numFmt w:val="bullet"/>
      <w:lvlText w:val="-"/>
      <w:lvlJc w:val="left"/>
      <w:pPr>
        <w:ind w:left="1065" w:hanging="360"/>
      </w:pPr>
      <w:rPr>
        <w:rFonts w:ascii="Times New Roman" w:eastAsia="Calibr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15:restartNumberingAfterBreak="0">
    <w:nsid w:val="294D2831"/>
    <w:multiLevelType w:val="hybridMultilevel"/>
    <w:tmpl w:val="530AF938"/>
    <w:lvl w:ilvl="0" w:tplc="731C97C2">
      <w:start w:val="1"/>
      <w:numFmt w:val="decimal"/>
      <w:lvlText w:val="6.%1"/>
      <w:lvlJc w:val="left"/>
      <w:pPr>
        <w:ind w:left="360" w:hanging="360"/>
      </w:pPr>
      <w:rPr>
        <w:rFonts w:ascii="Times New Roman" w:hAnsi="Times New Roman" w:hint="default"/>
        <w:b/>
        <w:i/>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298A59C8"/>
    <w:multiLevelType w:val="hybridMultilevel"/>
    <w:tmpl w:val="D5D49EA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2B7BDF"/>
    <w:multiLevelType w:val="hybridMultilevel"/>
    <w:tmpl w:val="E5745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B96BD8"/>
    <w:multiLevelType w:val="multilevel"/>
    <w:tmpl w:val="3C38BCFA"/>
    <w:lvl w:ilvl="0">
      <w:start w:val="4"/>
      <w:numFmt w:val="decimal"/>
      <w:lvlText w:val="%1"/>
      <w:lvlJc w:val="left"/>
      <w:pPr>
        <w:ind w:left="360" w:hanging="360"/>
      </w:pPr>
      <w:rPr>
        <w:rFonts w:hint="default"/>
      </w:rPr>
    </w:lvl>
    <w:lvl w:ilvl="1">
      <w:start w:val="1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FA45E14"/>
    <w:multiLevelType w:val="hybridMultilevel"/>
    <w:tmpl w:val="0E147874"/>
    <w:lvl w:ilvl="0" w:tplc="0C0A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C9792E"/>
    <w:multiLevelType w:val="hybridMultilevel"/>
    <w:tmpl w:val="362E080E"/>
    <w:lvl w:ilvl="0" w:tplc="3C645B48">
      <w:start w:val="1"/>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374873CA"/>
    <w:multiLevelType w:val="hybridMultilevel"/>
    <w:tmpl w:val="04B0246C"/>
    <w:lvl w:ilvl="0" w:tplc="242AB4FA">
      <w:start w:val="1"/>
      <w:numFmt w:val="decimal"/>
      <w:lvlText w:val="12.%1"/>
      <w:lvlJc w:val="left"/>
      <w:pPr>
        <w:ind w:left="360" w:hanging="360"/>
      </w:pPr>
      <w:rPr>
        <w:rFonts w:ascii="Times New Roman" w:hAnsi="Times New Roman" w:hint="default"/>
        <w:b/>
        <w:i/>
        <w:color w:val="auto"/>
        <w:sz w:val="24"/>
      </w:rPr>
    </w:lvl>
    <w:lvl w:ilvl="1" w:tplc="04090019">
      <w:start w:val="1"/>
      <w:numFmt w:val="decimal"/>
      <w:lvlText w:val="%2."/>
      <w:lvlJc w:val="left"/>
      <w:pPr>
        <w:tabs>
          <w:tab w:val="num" w:pos="1014"/>
        </w:tabs>
        <w:ind w:left="1014" w:hanging="360"/>
      </w:pPr>
    </w:lvl>
    <w:lvl w:ilvl="2" w:tplc="0409001B">
      <w:start w:val="1"/>
      <w:numFmt w:val="decimal"/>
      <w:lvlText w:val="%3."/>
      <w:lvlJc w:val="left"/>
      <w:pPr>
        <w:tabs>
          <w:tab w:val="num" w:pos="1734"/>
        </w:tabs>
        <w:ind w:left="1734" w:hanging="360"/>
      </w:pPr>
    </w:lvl>
    <w:lvl w:ilvl="3" w:tplc="0409000F">
      <w:start w:val="1"/>
      <w:numFmt w:val="decimal"/>
      <w:lvlText w:val="%4."/>
      <w:lvlJc w:val="left"/>
      <w:pPr>
        <w:tabs>
          <w:tab w:val="num" w:pos="2454"/>
        </w:tabs>
        <w:ind w:left="2454" w:hanging="360"/>
      </w:pPr>
    </w:lvl>
    <w:lvl w:ilvl="4" w:tplc="04090019">
      <w:start w:val="1"/>
      <w:numFmt w:val="decimal"/>
      <w:lvlText w:val="%5."/>
      <w:lvlJc w:val="left"/>
      <w:pPr>
        <w:tabs>
          <w:tab w:val="num" w:pos="3174"/>
        </w:tabs>
        <w:ind w:left="3174" w:hanging="360"/>
      </w:pPr>
    </w:lvl>
    <w:lvl w:ilvl="5" w:tplc="0409001B">
      <w:start w:val="1"/>
      <w:numFmt w:val="decimal"/>
      <w:lvlText w:val="%6."/>
      <w:lvlJc w:val="left"/>
      <w:pPr>
        <w:tabs>
          <w:tab w:val="num" w:pos="3894"/>
        </w:tabs>
        <w:ind w:left="3894" w:hanging="360"/>
      </w:pPr>
    </w:lvl>
    <w:lvl w:ilvl="6" w:tplc="0409000F">
      <w:start w:val="1"/>
      <w:numFmt w:val="decimal"/>
      <w:lvlText w:val="%7."/>
      <w:lvlJc w:val="left"/>
      <w:pPr>
        <w:tabs>
          <w:tab w:val="num" w:pos="4614"/>
        </w:tabs>
        <w:ind w:left="4614" w:hanging="360"/>
      </w:pPr>
    </w:lvl>
    <w:lvl w:ilvl="7" w:tplc="04090019">
      <w:start w:val="1"/>
      <w:numFmt w:val="decimal"/>
      <w:lvlText w:val="%8."/>
      <w:lvlJc w:val="left"/>
      <w:pPr>
        <w:tabs>
          <w:tab w:val="num" w:pos="5334"/>
        </w:tabs>
        <w:ind w:left="5334" w:hanging="360"/>
      </w:pPr>
    </w:lvl>
    <w:lvl w:ilvl="8" w:tplc="0409001B">
      <w:start w:val="1"/>
      <w:numFmt w:val="decimal"/>
      <w:lvlText w:val="%9."/>
      <w:lvlJc w:val="left"/>
      <w:pPr>
        <w:tabs>
          <w:tab w:val="num" w:pos="6054"/>
        </w:tabs>
        <w:ind w:left="6054" w:hanging="360"/>
      </w:pPr>
    </w:lvl>
  </w:abstractNum>
  <w:abstractNum w:abstractNumId="21" w15:restartNumberingAfterBreak="0">
    <w:nsid w:val="394F4717"/>
    <w:multiLevelType w:val="hybridMultilevel"/>
    <w:tmpl w:val="C9E2646E"/>
    <w:lvl w:ilvl="0" w:tplc="23D4D930">
      <w:start w:val="5"/>
      <w:numFmt w:val="bullet"/>
      <w:lvlText w:val="-"/>
      <w:lvlJc w:val="left"/>
      <w:pPr>
        <w:ind w:left="1065" w:hanging="360"/>
      </w:pPr>
      <w:rPr>
        <w:rFonts w:ascii="Times New Roman" w:eastAsia="Calibr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2" w15:restartNumberingAfterBreak="0">
    <w:nsid w:val="3CAA150D"/>
    <w:multiLevelType w:val="hybridMultilevel"/>
    <w:tmpl w:val="68ECC09C"/>
    <w:lvl w:ilvl="0" w:tplc="0868F79A">
      <w:start w:val="1"/>
      <w:numFmt w:val="decimal"/>
      <w:lvlText w:val="9.%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487892"/>
    <w:multiLevelType w:val="hybridMultilevel"/>
    <w:tmpl w:val="A63E068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2E80397"/>
    <w:multiLevelType w:val="multilevel"/>
    <w:tmpl w:val="F2066C6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9C4693"/>
    <w:multiLevelType w:val="hybridMultilevel"/>
    <w:tmpl w:val="ACC6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B2431"/>
    <w:multiLevelType w:val="hybridMultilevel"/>
    <w:tmpl w:val="7736D786"/>
    <w:lvl w:ilvl="0" w:tplc="BE52C10C">
      <w:start w:val="3"/>
      <w:numFmt w:val="bullet"/>
      <w:lvlText w:val="-"/>
      <w:lvlJc w:val="left"/>
      <w:pPr>
        <w:ind w:left="1065" w:hanging="360"/>
      </w:pPr>
      <w:rPr>
        <w:rFonts w:ascii="Times New Roman" w:eastAsia="Calibri"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7" w15:restartNumberingAfterBreak="0">
    <w:nsid w:val="4F9673C5"/>
    <w:multiLevelType w:val="hybridMultilevel"/>
    <w:tmpl w:val="47C6C6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ED1886"/>
    <w:multiLevelType w:val="hybridMultilevel"/>
    <w:tmpl w:val="E97E28BC"/>
    <w:lvl w:ilvl="0" w:tplc="8B8E5A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EE7836"/>
    <w:multiLevelType w:val="singleLevel"/>
    <w:tmpl w:val="0C09000F"/>
    <w:lvl w:ilvl="0">
      <w:start w:val="6"/>
      <w:numFmt w:val="decimal"/>
      <w:lvlText w:val="%1."/>
      <w:lvlJc w:val="left"/>
      <w:pPr>
        <w:tabs>
          <w:tab w:val="num" w:pos="360"/>
        </w:tabs>
        <w:ind w:left="360" w:hanging="360"/>
      </w:pPr>
      <w:rPr>
        <w:rFonts w:hint="default"/>
      </w:rPr>
    </w:lvl>
  </w:abstractNum>
  <w:abstractNum w:abstractNumId="30" w15:restartNumberingAfterBreak="0">
    <w:nsid w:val="57B91249"/>
    <w:multiLevelType w:val="hybridMultilevel"/>
    <w:tmpl w:val="617A201E"/>
    <w:lvl w:ilvl="0" w:tplc="A2EA64BA">
      <w:start w:val="1"/>
      <w:numFmt w:val="bullet"/>
      <w:lvlText w:val="-"/>
      <w:lvlJc w:val="left"/>
      <w:pPr>
        <w:tabs>
          <w:tab w:val="num" w:pos="362"/>
        </w:tabs>
        <w:ind w:left="362" w:hanging="360"/>
      </w:pPr>
      <w:rPr>
        <w:rFonts w:ascii="Times New Roman" w:eastAsia="Times New Roman" w:hAnsi="Times New Roman" w:cs="Times New Roman" w:hint="default"/>
      </w:rPr>
    </w:lvl>
    <w:lvl w:ilvl="1" w:tplc="04090003" w:tentative="1">
      <w:start w:val="1"/>
      <w:numFmt w:val="bullet"/>
      <w:lvlText w:val="o"/>
      <w:lvlJc w:val="left"/>
      <w:pPr>
        <w:tabs>
          <w:tab w:val="num" w:pos="1082"/>
        </w:tabs>
        <w:ind w:left="1082" w:hanging="360"/>
      </w:pPr>
      <w:rPr>
        <w:rFonts w:ascii="Courier New" w:hAnsi="Courier New" w:hint="default"/>
      </w:rPr>
    </w:lvl>
    <w:lvl w:ilvl="2" w:tplc="04090005" w:tentative="1">
      <w:start w:val="1"/>
      <w:numFmt w:val="bullet"/>
      <w:lvlText w:val=""/>
      <w:lvlJc w:val="left"/>
      <w:pPr>
        <w:tabs>
          <w:tab w:val="num" w:pos="1802"/>
        </w:tabs>
        <w:ind w:left="1802" w:hanging="360"/>
      </w:pPr>
      <w:rPr>
        <w:rFonts w:ascii="Wingdings" w:hAnsi="Wingdings" w:hint="default"/>
      </w:rPr>
    </w:lvl>
    <w:lvl w:ilvl="3" w:tplc="04090001" w:tentative="1">
      <w:start w:val="1"/>
      <w:numFmt w:val="bullet"/>
      <w:lvlText w:val=""/>
      <w:lvlJc w:val="left"/>
      <w:pPr>
        <w:tabs>
          <w:tab w:val="num" w:pos="2522"/>
        </w:tabs>
        <w:ind w:left="2522" w:hanging="360"/>
      </w:pPr>
      <w:rPr>
        <w:rFonts w:ascii="Symbol" w:hAnsi="Symbol" w:hint="default"/>
      </w:rPr>
    </w:lvl>
    <w:lvl w:ilvl="4" w:tplc="04090003" w:tentative="1">
      <w:start w:val="1"/>
      <w:numFmt w:val="bullet"/>
      <w:lvlText w:val="o"/>
      <w:lvlJc w:val="left"/>
      <w:pPr>
        <w:tabs>
          <w:tab w:val="num" w:pos="3242"/>
        </w:tabs>
        <w:ind w:left="3242" w:hanging="360"/>
      </w:pPr>
      <w:rPr>
        <w:rFonts w:ascii="Courier New" w:hAnsi="Courier New" w:hint="default"/>
      </w:rPr>
    </w:lvl>
    <w:lvl w:ilvl="5" w:tplc="04090005" w:tentative="1">
      <w:start w:val="1"/>
      <w:numFmt w:val="bullet"/>
      <w:lvlText w:val=""/>
      <w:lvlJc w:val="left"/>
      <w:pPr>
        <w:tabs>
          <w:tab w:val="num" w:pos="3962"/>
        </w:tabs>
        <w:ind w:left="3962" w:hanging="360"/>
      </w:pPr>
      <w:rPr>
        <w:rFonts w:ascii="Wingdings" w:hAnsi="Wingdings" w:hint="default"/>
      </w:rPr>
    </w:lvl>
    <w:lvl w:ilvl="6" w:tplc="04090001" w:tentative="1">
      <w:start w:val="1"/>
      <w:numFmt w:val="bullet"/>
      <w:lvlText w:val=""/>
      <w:lvlJc w:val="left"/>
      <w:pPr>
        <w:tabs>
          <w:tab w:val="num" w:pos="4682"/>
        </w:tabs>
        <w:ind w:left="4682" w:hanging="360"/>
      </w:pPr>
      <w:rPr>
        <w:rFonts w:ascii="Symbol" w:hAnsi="Symbol" w:hint="default"/>
      </w:rPr>
    </w:lvl>
    <w:lvl w:ilvl="7" w:tplc="04090003" w:tentative="1">
      <w:start w:val="1"/>
      <w:numFmt w:val="bullet"/>
      <w:lvlText w:val="o"/>
      <w:lvlJc w:val="left"/>
      <w:pPr>
        <w:tabs>
          <w:tab w:val="num" w:pos="5402"/>
        </w:tabs>
        <w:ind w:left="5402" w:hanging="360"/>
      </w:pPr>
      <w:rPr>
        <w:rFonts w:ascii="Courier New" w:hAnsi="Courier New" w:hint="default"/>
      </w:rPr>
    </w:lvl>
    <w:lvl w:ilvl="8" w:tplc="04090005" w:tentative="1">
      <w:start w:val="1"/>
      <w:numFmt w:val="bullet"/>
      <w:lvlText w:val=""/>
      <w:lvlJc w:val="left"/>
      <w:pPr>
        <w:tabs>
          <w:tab w:val="num" w:pos="6122"/>
        </w:tabs>
        <w:ind w:left="6122" w:hanging="360"/>
      </w:pPr>
      <w:rPr>
        <w:rFonts w:ascii="Wingdings" w:hAnsi="Wingdings" w:hint="default"/>
      </w:rPr>
    </w:lvl>
  </w:abstractNum>
  <w:abstractNum w:abstractNumId="31" w15:restartNumberingAfterBreak="0">
    <w:nsid w:val="58753EA2"/>
    <w:multiLevelType w:val="hybridMultilevel"/>
    <w:tmpl w:val="0A188CB6"/>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CEC0FC3"/>
    <w:multiLevelType w:val="hybridMultilevel"/>
    <w:tmpl w:val="65D41586"/>
    <w:lvl w:ilvl="0" w:tplc="12B63E78">
      <w:start w:val="1"/>
      <w:numFmt w:val="upperLetter"/>
      <w:lvlText w:val="%1)"/>
      <w:lvlJc w:val="left"/>
      <w:pPr>
        <w:ind w:left="720" w:hanging="360"/>
      </w:pPr>
      <w:rPr>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5E1D4840"/>
    <w:multiLevelType w:val="hybridMultilevel"/>
    <w:tmpl w:val="09B6C798"/>
    <w:lvl w:ilvl="0" w:tplc="FED60CF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449F7"/>
    <w:multiLevelType w:val="multilevel"/>
    <w:tmpl w:val="770A25C2"/>
    <w:lvl w:ilvl="0">
      <w:start w:val="4"/>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D1F09B1"/>
    <w:multiLevelType w:val="hybridMultilevel"/>
    <w:tmpl w:val="62CA3452"/>
    <w:lvl w:ilvl="0" w:tplc="A7E21BA0">
      <w:start w:val="1"/>
      <w:numFmt w:val="upperLetter"/>
      <w:lvlText w:val="%1."/>
      <w:lvlJc w:val="left"/>
      <w:pPr>
        <w:tabs>
          <w:tab w:val="num" w:pos="1117"/>
        </w:tabs>
        <w:ind w:left="1117" w:hanging="360"/>
      </w:pPr>
      <w:rPr>
        <w:rFonts w:ascii="Times New Roman" w:hAnsi="Times New Roman" w:cs="Times New Roman" w:hint="default"/>
        <w:sz w:val="22"/>
        <w:szCs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D6E6404"/>
    <w:multiLevelType w:val="hybridMultilevel"/>
    <w:tmpl w:val="66B0E8C8"/>
    <w:lvl w:ilvl="0" w:tplc="C0922746">
      <w:start w:val="1"/>
      <w:numFmt w:val="upperLetter"/>
      <w:lvlText w:val="%1."/>
      <w:lvlJc w:val="left"/>
      <w:pPr>
        <w:ind w:left="360" w:hanging="360"/>
      </w:pPr>
      <w:rPr>
        <w:rFonts w:hint="default"/>
        <w:b/>
        <w:i/>
        <w:color w:val="FF0000"/>
        <w:sz w:val="24"/>
      </w:rPr>
    </w:lvl>
    <w:lvl w:ilvl="1" w:tplc="04090019">
      <w:start w:val="1"/>
      <w:numFmt w:val="decimal"/>
      <w:lvlText w:val="%2."/>
      <w:lvlJc w:val="left"/>
      <w:pPr>
        <w:tabs>
          <w:tab w:val="num" w:pos="1014"/>
        </w:tabs>
        <w:ind w:left="1014" w:hanging="360"/>
      </w:pPr>
    </w:lvl>
    <w:lvl w:ilvl="2" w:tplc="0409001B">
      <w:start w:val="1"/>
      <w:numFmt w:val="decimal"/>
      <w:lvlText w:val="%3."/>
      <w:lvlJc w:val="left"/>
      <w:pPr>
        <w:tabs>
          <w:tab w:val="num" w:pos="1734"/>
        </w:tabs>
        <w:ind w:left="1734" w:hanging="360"/>
      </w:pPr>
    </w:lvl>
    <w:lvl w:ilvl="3" w:tplc="0409000F">
      <w:start w:val="1"/>
      <w:numFmt w:val="decimal"/>
      <w:lvlText w:val="%4."/>
      <w:lvlJc w:val="left"/>
      <w:pPr>
        <w:tabs>
          <w:tab w:val="num" w:pos="2454"/>
        </w:tabs>
        <w:ind w:left="2454" w:hanging="360"/>
      </w:pPr>
    </w:lvl>
    <w:lvl w:ilvl="4" w:tplc="04090019">
      <w:start w:val="1"/>
      <w:numFmt w:val="decimal"/>
      <w:lvlText w:val="%5."/>
      <w:lvlJc w:val="left"/>
      <w:pPr>
        <w:tabs>
          <w:tab w:val="num" w:pos="3174"/>
        </w:tabs>
        <w:ind w:left="3174" w:hanging="360"/>
      </w:pPr>
    </w:lvl>
    <w:lvl w:ilvl="5" w:tplc="0409001B">
      <w:start w:val="1"/>
      <w:numFmt w:val="decimal"/>
      <w:lvlText w:val="%6."/>
      <w:lvlJc w:val="left"/>
      <w:pPr>
        <w:tabs>
          <w:tab w:val="num" w:pos="3894"/>
        </w:tabs>
        <w:ind w:left="3894" w:hanging="360"/>
      </w:pPr>
    </w:lvl>
    <w:lvl w:ilvl="6" w:tplc="0409000F">
      <w:start w:val="1"/>
      <w:numFmt w:val="decimal"/>
      <w:lvlText w:val="%7."/>
      <w:lvlJc w:val="left"/>
      <w:pPr>
        <w:tabs>
          <w:tab w:val="num" w:pos="4614"/>
        </w:tabs>
        <w:ind w:left="4614" w:hanging="360"/>
      </w:pPr>
    </w:lvl>
    <w:lvl w:ilvl="7" w:tplc="04090019">
      <w:start w:val="1"/>
      <w:numFmt w:val="decimal"/>
      <w:lvlText w:val="%8."/>
      <w:lvlJc w:val="left"/>
      <w:pPr>
        <w:tabs>
          <w:tab w:val="num" w:pos="5334"/>
        </w:tabs>
        <w:ind w:left="5334" w:hanging="360"/>
      </w:pPr>
    </w:lvl>
    <w:lvl w:ilvl="8" w:tplc="0409001B">
      <w:start w:val="1"/>
      <w:numFmt w:val="decimal"/>
      <w:lvlText w:val="%9."/>
      <w:lvlJc w:val="left"/>
      <w:pPr>
        <w:tabs>
          <w:tab w:val="num" w:pos="6054"/>
        </w:tabs>
        <w:ind w:left="6054" w:hanging="360"/>
      </w:pPr>
    </w:lvl>
  </w:abstractNum>
  <w:abstractNum w:abstractNumId="37" w15:restartNumberingAfterBreak="0">
    <w:nsid w:val="776C4AD0"/>
    <w:multiLevelType w:val="hybridMultilevel"/>
    <w:tmpl w:val="9692C9E8"/>
    <w:lvl w:ilvl="0" w:tplc="339EA9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2D1FD8"/>
    <w:multiLevelType w:val="multilevel"/>
    <w:tmpl w:val="A4D2AA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C8A162F"/>
    <w:multiLevelType w:val="hybridMultilevel"/>
    <w:tmpl w:val="6D969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1A1166"/>
    <w:multiLevelType w:val="hybridMultilevel"/>
    <w:tmpl w:val="167CF6FC"/>
    <w:lvl w:ilvl="0" w:tplc="1414BD98">
      <w:start w:val="1"/>
      <w:numFmt w:val="decimal"/>
      <w:lvlText w:val="10.%1"/>
      <w:lvlJc w:val="left"/>
      <w:pPr>
        <w:ind w:left="360" w:hanging="360"/>
      </w:pPr>
      <w:rPr>
        <w:rFonts w:ascii="Times New Roman" w:hAnsi="Times New Roman" w:cs="Times New Roman" w:hint="default"/>
        <w:b/>
        <w:i/>
        <w:sz w:val="24"/>
        <w:szCs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4"/>
  </w:num>
  <w:num w:numId="2">
    <w:abstractNumId w:val="39"/>
  </w:num>
  <w:num w:numId="3">
    <w:abstractNumId w:val="0"/>
  </w:num>
  <w:num w:numId="4">
    <w:abstractNumId w:val="27"/>
  </w:num>
  <w:num w:numId="5">
    <w:abstractNumId w:val="37"/>
  </w:num>
  <w:num w:numId="6">
    <w:abstractNumId w:val="23"/>
  </w:num>
  <w:num w:numId="7">
    <w:abstractNumId w:val="15"/>
  </w:num>
  <w:num w:numId="8">
    <w:abstractNumId w:val="7"/>
  </w:num>
  <w:num w:numId="9">
    <w:abstractNumId w:val="25"/>
  </w:num>
  <w:num w:numId="10">
    <w:abstractNumId w:val="3"/>
  </w:num>
  <w:num w:numId="11">
    <w:abstractNumId w:val="4"/>
  </w:num>
  <w:num w:numId="12">
    <w:abstractNumId w:val="17"/>
  </w:num>
  <w:num w:numId="13">
    <w:abstractNumId w:val="38"/>
  </w:num>
  <w:num w:numId="14">
    <w:abstractNumId w:val="12"/>
  </w:num>
  <w:num w:numId="15">
    <w:abstractNumId w:val="16"/>
  </w:num>
  <w:num w:numId="16">
    <w:abstractNumId w:val="11"/>
  </w:num>
  <w:num w:numId="17">
    <w:abstractNumId w:val="14"/>
  </w:num>
  <w:num w:numId="18">
    <w:abstractNumId w:val="35"/>
  </w:num>
  <w:num w:numId="19">
    <w:abstractNumId w:val="22"/>
  </w:num>
  <w:num w:numId="20">
    <w:abstractNumId w:val="40"/>
  </w:num>
  <w:num w:numId="21">
    <w:abstractNumId w:val="36"/>
  </w:num>
  <w:num w:numId="22">
    <w:abstractNumId w:val="8"/>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9"/>
  </w:num>
  <w:num w:numId="27">
    <w:abstractNumId w:val="28"/>
  </w:num>
  <w:num w:numId="28">
    <w:abstractNumId w:val="10"/>
  </w:num>
  <w:num w:numId="29">
    <w:abstractNumId w:val="1"/>
  </w:num>
  <w:num w:numId="30">
    <w:abstractNumId w:val="2"/>
  </w:num>
  <w:num w:numId="31">
    <w:abstractNumId w:val="8"/>
  </w:num>
  <w:num w:numId="32">
    <w:abstractNumId w:val="6"/>
  </w:num>
  <w:num w:numId="33">
    <w:abstractNumId w:val="20"/>
  </w:num>
  <w:num w:numId="34">
    <w:abstractNumId w:val="31"/>
  </w:num>
  <w:num w:numId="35">
    <w:abstractNumId w:val="5"/>
  </w:num>
  <w:num w:numId="36">
    <w:abstractNumId w:val="30"/>
  </w:num>
  <w:num w:numId="37">
    <w:abstractNumId w:val="18"/>
  </w:num>
  <w:num w:numId="38">
    <w:abstractNumId w:val="33"/>
  </w:num>
  <w:num w:numId="39">
    <w:abstractNumId w:val="13"/>
  </w:num>
  <w:num w:numId="40">
    <w:abstractNumId w:val="21"/>
  </w:num>
  <w:num w:numId="41">
    <w:abstractNumId w:val="3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AB"/>
    <w:rsid w:val="000114C9"/>
    <w:rsid w:val="00012CEA"/>
    <w:rsid w:val="000152B6"/>
    <w:rsid w:val="000175E1"/>
    <w:rsid w:val="00021EE3"/>
    <w:rsid w:val="00022D39"/>
    <w:rsid w:val="0003186B"/>
    <w:rsid w:val="00037FF8"/>
    <w:rsid w:val="0004233A"/>
    <w:rsid w:val="000448B9"/>
    <w:rsid w:val="00046469"/>
    <w:rsid w:val="0007690F"/>
    <w:rsid w:val="00077547"/>
    <w:rsid w:val="00085BAF"/>
    <w:rsid w:val="00090072"/>
    <w:rsid w:val="00094896"/>
    <w:rsid w:val="00097CB3"/>
    <w:rsid w:val="000A121F"/>
    <w:rsid w:val="000A141F"/>
    <w:rsid w:val="000B0A3D"/>
    <w:rsid w:val="000C2E84"/>
    <w:rsid w:val="000D294C"/>
    <w:rsid w:val="001054E3"/>
    <w:rsid w:val="00113660"/>
    <w:rsid w:val="00115C24"/>
    <w:rsid w:val="00130265"/>
    <w:rsid w:val="00133CAA"/>
    <w:rsid w:val="001456C2"/>
    <w:rsid w:val="001534D7"/>
    <w:rsid w:val="00157385"/>
    <w:rsid w:val="001621FC"/>
    <w:rsid w:val="00165B72"/>
    <w:rsid w:val="00183C43"/>
    <w:rsid w:val="001A17F0"/>
    <w:rsid w:val="001A4F4D"/>
    <w:rsid w:val="001B68BD"/>
    <w:rsid w:val="001B72EB"/>
    <w:rsid w:val="001C092D"/>
    <w:rsid w:val="001D0EAD"/>
    <w:rsid w:val="001D5262"/>
    <w:rsid w:val="001D73AE"/>
    <w:rsid w:val="001E23A2"/>
    <w:rsid w:val="001E31E3"/>
    <w:rsid w:val="001E3FD8"/>
    <w:rsid w:val="001E66A4"/>
    <w:rsid w:val="001F24CF"/>
    <w:rsid w:val="00200935"/>
    <w:rsid w:val="00210950"/>
    <w:rsid w:val="00211D76"/>
    <w:rsid w:val="0021298E"/>
    <w:rsid w:val="002233C7"/>
    <w:rsid w:val="00232323"/>
    <w:rsid w:val="00235878"/>
    <w:rsid w:val="002373EA"/>
    <w:rsid w:val="00244ACB"/>
    <w:rsid w:val="0024639D"/>
    <w:rsid w:val="0024644B"/>
    <w:rsid w:val="002465B9"/>
    <w:rsid w:val="002536D9"/>
    <w:rsid w:val="00255120"/>
    <w:rsid w:val="00266A3C"/>
    <w:rsid w:val="00271AB3"/>
    <w:rsid w:val="00284723"/>
    <w:rsid w:val="00291E05"/>
    <w:rsid w:val="00293294"/>
    <w:rsid w:val="00297869"/>
    <w:rsid w:val="002A7AB6"/>
    <w:rsid w:val="002C1B95"/>
    <w:rsid w:val="002C6B4D"/>
    <w:rsid w:val="002C7599"/>
    <w:rsid w:val="002D63D4"/>
    <w:rsid w:val="002E1E47"/>
    <w:rsid w:val="002F0404"/>
    <w:rsid w:val="002F30FD"/>
    <w:rsid w:val="002F5313"/>
    <w:rsid w:val="0031682C"/>
    <w:rsid w:val="00321A35"/>
    <w:rsid w:val="00322631"/>
    <w:rsid w:val="003240A1"/>
    <w:rsid w:val="00337766"/>
    <w:rsid w:val="00344644"/>
    <w:rsid w:val="00346AA6"/>
    <w:rsid w:val="0036361F"/>
    <w:rsid w:val="0036575C"/>
    <w:rsid w:val="00374180"/>
    <w:rsid w:val="00384EE6"/>
    <w:rsid w:val="00391807"/>
    <w:rsid w:val="00394FFA"/>
    <w:rsid w:val="003968C6"/>
    <w:rsid w:val="003A224A"/>
    <w:rsid w:val="003B5538"/>
    <w:rsid w:val="003D2F46"/>
    <w:rsid w:val="003D2F9F"/>
    <w:rsid w:val="003D32F6"/>
    <w:rsid w:val="003D393C"/>
    <w:rsid w:val="003E1860"/>
    <w:rsid w:val="003E28FA"/>
    <w:rsid w:val="003E408F"/>
    <w:rsid w:val="003E4B45"/>
    <w:rsid w:val="003F5D33"/>
    <w:rsid w:val="00400DB0"/>
    <w:rsid w:val="004060BF"/>
    <w:rsid w:val="0041395B"/>
    <w:rsid w:val="004206D6"/>
    <w:rsid w:val="00420DF3"/>
    <w:rsid w:val="00433BF2"/>
    <w:rsid w:val="004354C5"/>
    <w:rsid w:val="00437CD5"/>
    <w:rsid w:val="004462C5"/>
    <w:rsid w:val="00447B6E"/>
    <w:rsid w:val="00471310"/>
    <w:rsid w:val="0047297C"/>
    <w:rsid w:val="00473620"/>
    <w:rsid w:val="00473A02"/>
    <w:rsid w:val="00485DAE"/>
    <w:rsid w:val="0049602F"/>
    <w:rsid w:val="004A08E7"/>
    <w:rsid w:val="004A5AA8"/>
    <w:rsid w:val="004A6854"/>
    <w:rsid w:val="004B01CD"/>
    <w:rsid w:val="004B1755"/>
    <w:rsid w:val="004B70A0"/>
    <w:rsid w:val="004C2EA0"/>
    <w:rsid w:val="004C6B59"/>
    <w:rsid w:val="004D1957"/>
    <w:rsid w:val="004D566A"/>
    <w:rsid w:val="004F0601"/>
    <w:rsid w:val="004F2322"/>
    <w:rsid w:val="00507FA0"/>
    <w:rsid w:val="005128D9"/>
    <w:rsid w:val="00513FA4"/>
    <w:rsid w:val="005161B7"/>
    <w:rsid w:val="0053332A"/>
    <w:rsid w:val="00534237"/>
    <w:rsid w:val="00540A58"/>
    <w:rsid w:val="00540E81"/>
    <w:rsid w:val="005420E4"/>
    <w:rsid w:val="0054237E"/>
    <w:rsid w:val="0054410F"/>
    <w:rsid w:val="005443E7"/>
    <w:rsid w:val="00552F74"/>
    <w:rsid w:val="005564FD"/>
    <w:rsid w:val="005566EA"/>
    <w:rsid w:val="005868CA"/>
    <w:rsid w:val="0059480B"/>
    <w:rsid w:val="005950A1"/>
    <w:rsid w:val="0059681F"/>
    <w:rsid w:val="005971BE"/>
    <w:rsid w:val="00597FA2"/>
    <w:rsid w:val="005A0602"/>
    <w:rsid w:val="005A666F"/>
    <w:rsid w:val="005A7A0E"/>
    <w:rsid w:val="005B0C93"/>
    <w:rsid w:val="005B1DD5"/>
    <w:rsid w:val="005B3454"/>
    <w:rsid w:val="005B522C"/>
    <w:rsid w:val="005D303B"/>
    <w:rsid w:val="005E0E1C"/>
    <w:rsid w:val="005F3C8C"/>
    <w:rsid w:val="005F72D0"/>
    <w:rsid w:val="00603DBB"/>
    <w:rsid w:val="00607CD3"/>
    <w:rsid w:val="00610251"/>
    <w:rsid w:val="00611044"/>
    <w:rsid w:val="00612D7A"/>
    <w:rsid w:val="00615F02"/>
    <w:rsid w:val="00626EF5"/>
    <w:rsid w:val="006429C8"/>
    <w:rsid w:val="00652C6B"/>
    <w:rsid w:val="00654A92"/>
    <w:rsid w:val="00654E11"/>
    <w:rsid w:val="00655C01"/>
    <w:rsid w:val="00660C80"/>
    <w:rsid w:val="006627B5"/>
    <w:rsid w:val="00667239"/>
    <w:rsid w:val="00672456"/>
    <w:rsid w:val="006906A8"/>
    <w:rsid w:val="006916B6"/>
    <w:rsid w:val="00692A19"/>
    <w:rsid w:val="00693659"/>
    <w:rsid w:val="00696DFA"/>
    <w:rsid w:val="00697B19"/>
    <w:rsid w:val="006A17A6"/>
    <w:rsid w:val="006B1F0B"/>
    <w:rsid w:val="006B1FAE"/>
    <w:rsid w:val="006B2E76"/>
    <w:rsid w:val="006C0409"/>
    <w:rsid w:val="006C4991"/>
    <w:rsid w:val="006D1BB0"/>
    <w:rsid w:val="006F147F"/>
    <w:rsid w:val="00700A4E"/>
    <w:rsid w:val="0070668A"/>
    <w:rsid w:val="007212CF"/>
    <w:rsid w:val="0072188E"/>
    <w:rsid w:val="00721936"/>
    <w:rsid w:val="00727A2E"/>
    <w:rsid w:val="00730BC1"/>
    <w:rsid w:val="00743500"/>
    <w:rsid w:val="00746738"/>
    <w:rsid w:val="00760532"/>
    <w:rsid w:val="00764F86"/>
    <w:rsid w:val="00771482"/>
    <w:rsid w:val="00772A75"/>
    <w:rsid w:val="007730B3"/>
    <w:rsid w:val="00773284"/>
    <w:rsid w:val="00776FAB"/>
    <w:rsid w:val="0078625E"/>
    <w:rsid w:val="007B3ACD"/>
    <w:rsid w:val="007B640A"/>
    <w:rsid w:val="007E0CED"/>
    <w:rsid w:val="007E370C"/>
    <w:rsid w:val="007F3874"/>
    <w:rsid w:val="007F3F3A"/>
    <w:rsid w:val="007F6398"/>
    <w:rsid w:val="007F687E"/>
    <w:rsid w:val="007F78D5"/>
    <w:rsid w:val="00803DF2"/>
    <w:rsid w:val="00803E10"/>
    <w:rsid w:val="00806456"/>
    <w:rsid w:val="00806763"/>
    <w:rsid w:val="00817C12"/>
    <w:rsid w:val="00831DCE"/>
    <w:rsid w:val="00833516"/>
    <w:rsid w:val="00833BDB"/>
    <w:rsid w:val="00844596"/>
    <w:rsid w:val="00846621"/>
    <w:rsid w:val="00852805"/>
    <w:rsid w:val="00855C1A"/>
    <w:rsid w:val="00874BCE"/>
    <w:rsid w:val="00875577"/>
    <w:rsid w:val="00881575"/>
    <w:rsid w:val="00881E6B"/>
    <w:rsid w:val="00885620"/>
    <w:rsid w:val="00895E96"/>
    <w:rsid w:val="00897D45"/>
    <w:rsid w:val="008A7E40"/>
    <w:rsid w:val="008B0F65"/>
    <w:rsid w:val="008B1DC4"/>
    <w:rsid w:val="008B65E6"/>
    <w:rsid w:val="008B76F2"/>
    <w:rsid w:val="008C2359"/>
    <w:rsid w:val="008C50F0"/>
    <w:rsid w:val="008C5712"/>
    <w:rsid w:val="008D641E"/>
    <w:rsid w:val="008E288A"/>
    <w:rsid w:val="008E2D2E"/>
    <w:rsid w:val="008F352B"/>
    <w:rsid w:val="009157F4"/>
    <w:rsid w:val="009301A5"/>
    <w:rsid w:val="009371CA"/>
    <w:rsid w:val="00944056"/>
    <w:rsid w:val="00944AD7"/>
    <w:rsid w:val="00946CC8"/>
    <w:rsid w:val="009511F7"/>
    <w:rsid w:val="00956932"/>
    <w:rsid w:val="00965BC1"/>
    <w:rsid w:val="00987DFC"/>
    <w:rsid w:val="009A274A"/>
    <w:rsid w:val="009A2F7F"/>
    <w:rsid w:val="009B4C72"/>
    <w:rsid w:val="009B515E"/>
    <w:rsid w:val="009C4DA5"/>
    <w:rsid w:val="009D1A14"/>
    <w:rsid w:val="009D4F3C"/>
    <w:rsid w:val="009D539E"/>
    <w:rsid w:val="009E1F91"/>
    <w:rsid w:val="009E576E"/>
    <w:rsid w:val="009E7AFF"/>
    <w:rsid w:val="009F28DD"/>
    <w:rsid w:val="009F3D03"/>
    <w:rsid w:val="009F62E6"/>
    <w:rsid w:val="00A2613F"/>
    <w:rsid w:val="00A30C71"/>
    <w:rsid w:val="00A36F5C"/>
    <w:rsid w:val="00A41D38"/>
    <w:rsid w:val="00A51A9A"/>
    <w:rsid w:val="00A640C6"/>
    <w:rsid w:val="00A640EC"/>
    <w:rsid w:val="00A7392D"/>
    <w:rsid w:val="00A74562"/>
    <w:rsid w:val="00A74FBB"/>
    <w:rsid w:val="00A77C4F"/>
    <w:rsid w:val="00A81FBE"/>
    <w:rsid w:val="00A847A5"/>
    <w:rsid w:val="00A95B07"/>
    <w:rsid w:val="00AA2893"/>
    <w:rsid w:val="00AA4A21"/>
    <w:rsid w:val="00AA6AFB"/>
    <w:rsid w:val="00AA7D60"/>
    <w:rsid w:val="00AC1879"/>
    <w:rsid w:val="00AD1811"/>
    <w:rsid w:val="00AD596B"/>
    <w:rsid w:val="00AE28E9"/>
    <w:rsid w:val="00AE2A55"/>
    <w:rsid w:val="00B0312E"/>
    <w:rsid w:val="00B03E48"/>
    <w:rsid w:val="00B106AC"/>
    <w:rsid w:val="00B10833"/>
    <w:rsid w:val="00B15B7F"/>
    <w:rsid w:val="00B30816"/>
    <w:rsid w:val="00B4336D"/>
    <w:rsid w:val="00B53629"/>
    <w:rsid w:val="00B55794"/>
    <w:rsid w:val="00B63898"/>
    <w:rsid w:val="00B64EDB"/>
    <w:rsid w:val="00B66F67"/>
    <w:rsid w:val="00B71752"/>
    <w:rsid w:val="00B74AE0"/>
    <w:rsid w:val="00B802FD"/>
    <w:rsid w:val="00B80DC3"/>
    <w:rsid w:val="00B81360"/>
    <w:rsid w:val="00B875EA"/>
    <w:rsid w:val="00B926B2"/>
    <w:rsid w:val="00B92956"/>
    <w:rsid w:val="00B976C7"/>
    <w:rsid w:val="00BC7C4B"/>
    <w:rsid w:val="00BD3F80"/>
    <w:rsid w:val="00BD42F6"/>
    <w:rsid w:val="00BE68C2"/>
    <w:rsid w:val="00BF0B30"/>
    <w:rsid w:val="00BF117A"/>
    <w:rsid w:val="00BF14F8"/>
    <w:rsid w:val="00BF6212"/>
    <w:rsid w:val="00BF6569"/>
    <w:rsid w:val="00C02497"/>
    <w:rsid w:val="00C02A35"/>
    <w:rsid w:val="00C072FD"/>
    <w:rsid w:val="00C105C1"/>
    <w:rsid w:val="00C1757B"/>
    <w:rsid w:val="00C308A5"/>
    <w:rsid w:val="00C311C5"/>
    <w:rsid w:val="00C3444C"/>
    <w:rsid w:val="00C34DF3"/>
    <w:rsid w:val="00C716A4"/>
    <w:rsid w:val="00C85078"/>
    <w:rsid w:val="00C86AB1"/>
    <w:rsid w:val="00C92871"/>
    <w:rsid w:val="00C92FAD"/>
    <w:rsid w:val="00C93745"/>
    <w:rsid w:val="00C97D59"/>
    <w:rsid w:val="00CA721D"/>
    <w:rsid w:val="00CB2749"/>
    <w:rsid w:val="00CB3E58"/>
    <w:rsid w:val="00CB5FAD"/>
    <w:rsid w:val="00CB643A"/>
    <w:rsid w:val="00CB740D"/>
    <w:rsid w:val="00CB7427"/>
    <w:rsid w:val="00CB763D"/>
    <w:rsid w:val="00CD500E"/>
    <w:rsid w:val="00CD6AB8"/>
    <w:rsid w:val="00CD6F47"/>
    <w:rsid w:val="00CE6FCC"/>
    <w:rsid w:val="00CF418E"/>
    <w:rsid w:val="00CF7EBD"/>
    <w:rsid w:val="00D002FE"/>
    <w:rsid w:val="00D047EB"/>
    <w:rsid w:val="00D0768A"/>
    <w:rsid w:val="00D23D1B"/>
    <w:rsid w:val="00D24945"/>
    <w:rsid w:val="00D2605C"/>
    <w:rsid w:val="00D365AD"/>
    <w:rsid w:val="00D459CE"/>
    <w:rsid w:val="00D6165F"/>
    <w:rsid w:val="00D622C5"/>
    <w:rsid w:val="00D7249A"/>
    <w:rsid w:val="00D75607"/>
    <w:rsid w:val="00D77E3C"/>
    <w:rsid w:val="00D91BFE"/>
    <w:rsid w:val="00DA60CB"/>
    <w:rsid w:val="00DA6124"/>
    <w:rsid w:val="00DA6F05"/>
    <w:rsid w:val="00DA73B4"/>
    <w:rsid w:val="00DC45AD"/>
    <w:rsid w:val="00DC5216"/>
    <w:rsid w:val="00DE5F5D"/>
    <w:rsid w:val="00DE6AA1"/>
    <w:rsid w:val="00DE6B14"/>
    <w:rsid w:val="00DF1906"/>
    <w:rsid w:val="00E21C58"/>
    <w:rsid w:val="00E22DEC"/>
    <w:rsid w:val="00E238A6"/>
    <w:rsid w:val="00E303F2"/>
    <w:rsid w:val="00E31FC3"/>
    <w:rsid w:val="00E3537F"/>
    <w:rsid w:val="00E359B7"/>
    <w:rsid w:val="00E35D06"/>
    <w:rsid w:val="00E37616"/>
    <w:rsid w:val="00E37887"/>
    <w:rsid w:val="00E446CA"/>
    <w:rsid w:val="00E4613E"/>
    <w:rsid w:val="00E52922"/>
    <w:rsid w:val="00E53F3F"/>
    <w:rsid w:val="00E554D9"/>
    <w:rsid w:val="00E60631"/>
    <w:rsid w:val="00E61581"/>
    <w:rsid w:val="00E72540"/>
    <w:rsid w:val="00E82FE4"/>
    <w:rsid w:val="00E8658D"/>
    <w:rsid w:val="00E91454"/>
    <w:rsid w:val="00E95BA7"/>
    <w:rsid w:val="00EA7C65"/>
    <w:rsid w:val="00ED19E4"/>
    <w:rsid w:val="00ED3A19"/>
    <w:rsid w:val="00EE2CDE"/>
    <w:rsid w:val="00EE3BE4"/>
    <w:rsid w:val="00F03520"/>
    <w:rsid w:val="00F05EF2"/>
    <w:rsid w:val="00F156C7"/>
    <w:rsid w:val="00F219DF"/>
    <w:rsid w:val="00F25D4A"/>
    <w:rsid w:val="00F315F5"/>
    <w:rsid w:val="00F36EB3"/>
    <w:rsid w:val="00F44AA0"/>
    <w:rsid w:val="00F44F8B"/>
    <w:rsid w:val="00F472CA"/>
    <w:rsid w:val="00F52293"/>
    <w:rsid w:val="00F549D6"/>
    <w:rsid w:val="00F55398"/>
    <w:rsid w:val="00F61437"/>
    <w:rsid w:val="00F650B9"/>
    <w:rsid w:val="00F72D97"/>
    <w:rsid w:val="00F73BF9"/>
    <w:rsid w:val="00F74233"/>
    <w:rsid w:val="00F76286"/>
    <w:rsid w:val="00F85CEC"/>
    <w:rsid w:val="00F8736A"/>
    <w:rsid w:val="00F8759B"/>
    <w:rsid w:val="00F975AA"/>
    <w:rsid w:val="00FA13A5"/>
    <w:rsid w:val="00FA2E36"/>
    <w:rsid w:val="00FB6864"/>
    <w:rsid w:val="00FC577F"/>
    <w:rsid w:val="00FC6389"/>
    <w:rsid w:val="00FD1E73"/>
    <w:rsid w:val="00FD3A5F"/>
    <w:rsid w:val="00FE63B3"/>
    <w:rsid w:val="00FF23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A6CB1C1"/>
  <w15:docId w15:val="{8B3A2B93-E809-4923-B7FD-15C3E6598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1F"/>
    <w:rPr>
      <w:rFonts w:ascii="Times New Roman" w:hAnsi="Times New Roman"/>
      <w:sz w:val="24"/>
      <w:szCs w:val="22"/>
      <w:lang w:eastAsia="en-US"/>
    </w:rPr>
  </w:style>
  <w:style w:type="paragraph" w:styleId="Ttulo1">
    <w:name w:val="heading 1"/>
    <w:basedOn w:val="Normal"/>
    <w:next w:val="Normal"/>
    <w:link w:val="Ttulo1Car"/>
    <w:qFormat/>
    <w:rsid w:val="00046469"/>
    <w:pPr>
      <w:keepNext/>
      <w:spacing w:before="240" w:after="60"/>
      <w:outlineLvl w:val="0"/>
    </w:pPr>
    <w:rPr>
      <w:rFonts w:ascii="Arial" w:eastAsia="Times New Roman" w:hAnsi="Arial" w:cs="Arial"/>
      <w:b/>
      <w:bCs/>
      <w:kern w:val="32"/>
      <w:sz w:val="32"/>
      <w:szCs w:val="32"/>
    </w:rPr>
  </w:style>
  <w:style w:type="paragraph" w:styleId="Ttulo5">
    <w:name w:val="heading 5"/>
    <w:basedOn w:val="Normal"/>
    <w:next w:val="Normal"/>
    <w:link w:val="Ttulo5Car"/>
    <w:qFormat/>
    <w:rsid w:val="0036361F"/>
    <w:pPr>
      <w:keepNext/>
      <w:outlineLvl w:val="4"/>
    </w:pPr>
    <w:rPr>
      <w:rFonts w:eastAsia="Times New Roman"/>
      <w:szCs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36361F"/>
    <w:rPr>
      <w:rFonts w:ascii="Times New Roman" w:eastAsia="Times New Roman" w:hAnsi="Times New Roman"/>
      <w:sz w:val="24"/>
      <w:szCs w:val="24"/>
      <w:u w:val="single"/>
      <w:lang w:eastAsia="en-US"/>
    </w:rPr>
  </w:style>
  <w:style w:type="paragraph" w:customStyle="1" w:styleId="Bodycopy">
    <w:name w:val="Body copy"/>
    <w:rsid w:val="0036361F"/>
    <w:pPr>
      <w:spacing w:before="20" w:line="210" w:lineRule="exact"/>
    </w:pPr>
    <w:rPr>
      <w:rFonts w:ascii="Arial" w:eastAsia="PMingLiU" w:hAnsi="Arial" w:cs="Arial"/>
      <w:color w:val="000000"/>
      <w:sz w:val="17"/>
      <w:szCs w:val="17"/>
      <w:lang w:val="en-US" w:eastAsia="en-US"/>
    </w:rPr>
  </w:style>
  <w:style w:type="paragraph" w:styleId="Listaconnmeros">
    <w:name w:val="List Number"/>
    <w:basedOn w:val="Normal"/>
    <w:rsid w:val="0036361F"/>
    <w:pPr>
      <w:numPr>
        <w:numId w:val="3"/>
      </w:numPr>
    </w:pPr>
    <w:rPr>
      <w:rFonts w:eastAsia="PMingLiU"/>
      <w:sz w:val="21"/>
      <w:szCs w:val="24"/>
      <w:lang w:val="en-AU"/>
    </w:rPr>
  </w:style>
  <w:style w:type="paragraph" w:styleId="Tabladeilustraciones">
    <w:name w:val="table of figures"/>
    <w:basedOn w:val="Normal"/>
    <w:next w:val="Normal"/>
    <w:rsid w:val="0036361F"/>
    <w:rPr>
      <w:rFonts w:eastAsia="Times New Roman"/>
      <w:sz w:val="20"/>
      <w:szCs w:val="20"/>
    </w:rPr>
  </w:style>
  <w:style w:type="paragraph" w:styleId="Textodeglobo">
    <w:name w:val="Balloon Text"/>
    <w:basedOn w:val="Normal"/>
    <w:link w:val="TextodegloboCar"/>
    <w:uiPriority w:val="99"/>
    <w:semiHidden/>
    <w:unhideWhenUsed/>
    <w:rsid w:val="0036361F"/>
    <w:rPr>
      <w:rFonts w:ascii="Tahoma" w:eastAsia="Times New Roman" w:hAnsi="Tahoma" w:cs="Tahoma"/>
      <w:sz w:val="16"/>
      <w:szCs w:val="16"/>
      <w:lang w:val="en-US"/>
    </w:rPr>
  </w:style>
  <w:style w:type="character" w:customStyle="1" w:styleId="TextodegloboCar">
    <w:name w:val="Texto de globo Car"/>
    <w:basedOn w:val="Fuentedeprrafopredeter"/>
    <w:link w:val="Textodeglobo"/>
    <w:uiPriority w:val="99"/>
    <w:semiHidden/>
    <w:rsid w:val="0036361F"/>
    <w:rPr>
      <w:rFonts w:ascii="Tahoma" w:eastAsia="Times New Roman" w:hAnsi="Tahoma" w:cs="Tahoma"/>
      <w:sz w:val="16"/>
      <w:szCs w:val="16"/>
      <w:lang w:val="en-US" w:eastAsia="en-US"/>
    </w:rPr>
  </w:style>
  <w:style w:type="paragraph" w:styleId="Textoindependiente">
    <w:name w:val="Body Text"/>
    <w:basedOn w:val="Normal"/>
    <w:link w:val="TextoindependienteCar"/>
    <w:rsid w:val="0036361F"/>
    <w:pPr>
      <w:jc w:val="both"/>
    </w:pPr>
    <w:rPr>
      <w:rFonts w:eastAsia="Times New Roman"/>
      <w:szCs w:val="24"/>
    </w:rPr>
  </w:style>
  <w:style w:type="character" w:customStyle="1" w:styleId="TextoindependienteCar">
    <w:name w:val="Texto independiente Car"/>
    <w:basedOn w:val="Fuentedeprrafopredeter"/>
    <w:link w:val="Textoindependiente"/>
    <w:rsid w:val="0036361F"/>
    <w:rPr>
      <w:rFonts w:ascii="Times New Roman" w:eastAsia="Times New Roman" w:hAnsi="Times New Roman"/>
      <w:sz w:val="24"/>
      <w:szCs w:val="24"/>
      <w:lang w:eastAsia="en-US"/>
    </w:rPr>
  </w:style>
  <w:style w:type="paragraph" w:styleId="Sangradetextonormal">
    <w:name w:val="Body Text Indent"/>
    <w:basedOn w:val="Normal"/>
    <w:link w:val="SangradetextonormalCar"/>
    <w:rsid w:val="0036361F"/>
    <w:pPr>
      <w:ind w:left="567"/>
      <w:jc w:val="both"/>
    </w:pPr>
    <w:rPr>
      <w:rFonts w:eastAsia="Times New Roman"/>
      <w:szCs w:val="20"/>
    </w:rPr>
  </w:style>
  <w:style w:type="character" w:customStyle="1" w:styleId="SangradetextonormalCar">
    <w:name w:val="Sangría de texto normal Car"/>
    <w:basedOn w:val="Fuentedeprrafopredeter"/>
    <w:link w:val="Sangradetextonormal"/>
    <w:rsid w:val="0036361F"/>
    <w:rPr>
      <w:rFonts w:ascii="Times New Roman" w:eastAsia="Times New Roman" w:hAnsi="Times New Roman"/>
      <w:sz w:val="24"/>
      <w:lang w:eastAsia="en-US"/>
    </w:rPr>
  </w:style>
  <w:style w:type="paragraph" w:styleId="Textoindependiente3">
    <w:name w:val="Body Text 3"/>
    <w:basedOn w:val="Normal"/>
    <w:link w:val="Textoindependiente3Car"/>
    <w:rsid w:val="0036361F"/>
    <w:pPr>
      <w:jc w:val="both"/>
    </w:pPr>
    <w:rPr>
      <w:rFonts w:eastAsia="Times New Roman"/>
      <w:szCs w:val="24"/>
    </w:rPr>
  </w:style>
  <w:style w:type="character" w:customStyle="1" w:styleId="Textoindependiente3Car">
    <w:name w:val="Texto independiente 3 Car"/>
    <w:basedOn w:val="Fuentedeprrafopredeter"/>
    <w:link w:val="Textoindependiente3"/>
    <w:rsid w:val="0036361F"/>
    <w:rPr>
      <w:rFonts w:ascii="Times New Roman" w:eastAsia="Times New Roman" w:hAnsi="Times New Roman"/>
      <w:sz w:val="22"/>
      <w:szCs w:val="24"/>
      <w:lang w:eastAsia="en-US"/>
    </w:rPr>
  </w:style>
  <w:style w:type="paragraph" w:customStyle="1" w:styleId="cuadros">
    <w:name w:val="cuadros"/>
    <w:basedOn w:val="Normal"/>
    <w:rsid w:val="0036361F"/>
    <w:rPr>
      <w:rFonts w:ascii="Book Antiqua" w:eastAsia="Times New Roman" w:hAnsi="Book Antiqua"/>
      <w:sz w:val="20"/>
      <w:szCs w:val="20"/>
      <w:lang w:val="es-ES_tradnl"/>
    </w:rPr>
  </w:style>
  <w:style w:type="paragraph" w:styleId="Prrafodelista">
    <w:name w:val="List Paragraph"/>
    <w:basedOn w:val="Normal"/>
    <w:uiPriority w:val="34"/>
    <w:qFormat/>
    <w:rsid w:val="0036361F"/>
    <w:pPr>
      <w:ind w:left="720"/>
      <w:contextualSpacing/>
    </w:pPr>
    <w:rPr>
      <w:rFonts w:eastAsia="Times New Roman"/>
      <w:szCs w:val="24"/>
      <w:lang w:val="en-US"/>
    </w:rPr>
  </w:style>
  <w:style w:type="table" w:customStyle="1" w:styleId="Calendar2">
    <w:name w:val="Calendar 2"/>
    <w:basedOn w:val="Tablanormal"/>
    <w:uiPriority w:val="99"/>
    <w:qFormat/>
    <w:rsid w:val="005F72D0"/>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Textoindependiente2">
    <w:name w:val="Body Text 2"/>
    <w:basedOn w:val="Normal"/>
    <w:link w:val="Textoindependiente2Car"/>
    <w:uiPriority w:val="99"/>
    <w:semiHidden/>
    <w:unhideWhenUsed/>
    <w:rsid w:val="004A08E7"/>
    <w:pPr>
      <w:spacing w:after="120" w:line="480" w:lineRule="auto"/>
    </w:pPr>
  </w:style>
  <w:style w:type="character" w:customStyle="1" w:styleId="Textoindependiente2Car">
    <w:name w:val="Texto independiente 2 Car"/>
    <w:basedOn w:val="Fuentedeprrafopredeter"/>
    <w:link w:val="Textoindependiente2"/>
    <w:uiPriority w:val="99"/>
    <w:semiHidden/>
    <w:rsid w:val="004A08E7"/>
    <w:rPr>
      <w:rFonts w:ascii="Times New Roman" w:hAnsi="Times New Roman"/>
      <w:sz w:val="24"/>
      <w:szCs w:val="22"/>
      <w:lang w:eastAsia="en-US"/>
    </w:rPr>
  </w:style>
  <w:style w:type="paragraph" w:customStyle="1" w:styleId="memoria">
    <w:name w:val="memoria"/>
    <w:basedOn w:val="Normal"/>
    <w:rsid w:val="004A08E7"/>
    <w:pPr>
      <w:spacing w:after="240"/>
      <w:jc w:val="center"/>
    </w:pPr>
    <w:rPr>
      <w:rFonts w:ascii="Arial" w:eastAsia="Times New Roman" w:hAnsi="Arial"/>
      <w:sz w:val="18"/>
      <w:szCs w:val="20"/>
      <w:u w:val="single"/>
    </w:rPr>
  </w:style>
  <w:style w:type="paragraph" w:styleId="Encabezado">
    <w:name w:val="header"/>
    <w:basedOn w:val="Normal"/>
    <w:link w:val="EncabezadoCar"/>
    <w:unhideWhenUsed/>
    <w:rsid w:val="00660C80"/>
    <w:pPr>
      <w:tabs>
        <w:tab w:val="center" w:pos="4419"/>
        <w:tab w:val="right" w:pos="8838"/>
      </w:tabs>
    </w:pPr>
  </w:style>
  <w:style w:type="character" w:customStyle="1" w:styleId="EncabezadoCar">
    <w:name w:val="Encabezado Car"/>
    <w:basedOn w:val="Fuentedeprrafopredeter"/>
    <w:link w:val="Encabezado"/>
    <w:uiPriority w:val="99"/>
    <w:semiHidden/>
    <w:rsid w:val="00660C80"/>
    <w:rPr>
      <w:rFonts w:ascii="Times New Roman" w:hAnsi="Times New Roman"/>
      <w:sz w:val="24"/>
      <w:szCs w:val="22"/>
      <w:lang w:val="es-ES"/>
    </w:rPr>
  </w:style>
  <w:style w:type="paragraph" w:styleId="Piedepgina">
    <w:name w:val="footer"/>
    <w:basedOn w:val="Normal"/>
    <w:link w:val="PiedepginaCar"/>
    <w:unhideWhenUsed/>
    <w:rsid w:val="00660C80"/>
    <w:pPr>
      <w:tabs>
        <w:tab w:val="center" w:pos="4419"/>
        <w:tab w:val="right" w:pos="8838"/>
      </w:tabs>
    </w:pPr>
  </w:style>
  <w:style w:type="character" w:customStyle="1" w:styleId="PiedepginaCar">
    <w:name w:val="Pie de página Car"/>
    <w:basedOn w:val="Fuentedeprrafopredeter"/>
    <w:link w:val="Piedepgina"/>
    <w:semiHidden/>
    <w:rsid w:val="00660C80"/>
    <w:rPr>
      <w:rFonts w:ascii="Times New Roman" w:hAnsi="Times New Roman"/>
      <w:sz w:val="24"/>
      <w:szCs w:val="22"/>
      <w:lang w:val="es-ES"/>
    </w:rPr>
  </w:style>
  <w:style w:type="character" w:styleId="Nmerodepgina">
    <w:name w:val="page number"/>
    <w:basedOn w:val="Fuentedeprrafopredeter"/>
    <w:rsid w:val="00660C80"/>
  </w:style>
  <w:style w:type="character" w:customStyle="1" w:styleId="Ttulo1Car">
    <w:name w:val="Título 1 Car"/>
    <w:basedOn w:val="Fuentedeprrafopredeter"/>
    <w:link w:val="Ttulo1"/>
    <w:rsid w:val="00046469"/>
    <w:rPr>
      <w:rFonts w:ascii="Arial" w:eastAsia="Times New Roman" w:hAnsi="Arial" w:cs="Arial"/>
      <w:b/>
      <w:bCs/>
      <w:kern w:val="32"/>
      <w:sz w:val="32"/>
      <w:szCs w:val="32"/>
      <w:lang w:val="es-ES"/>
    </w:rPr>
  </w:style>
  <w:style w:type="paragraph" w:styleId="Listaconvietas2">
    <w:name w:val="List Bullet 2"/>
    <w:basedOn w:val="Normal"/>
    <w:autoRedefine/>
    <w:rsid w:val="00F61437"/>
    <w:pPr>
      <w:jc w:val="both"/>
    </w:pPr>
    <w:rPr>
      <w:rFonts w:eastAsia="Times New Roman"/>
      <w:szCs w:val="24"/>
    </w:rPr>
  </w:style>
  <w:style w:type="paragraph" w:customStyle="1" w:styleId="Default">
    <w:name w:val="Default"/>
    <w:rsid w:val="00E238A6"/>
    <w:pPr>
      <w:autoSpaceDE w:val="0"/>
      <w:autoSpaceDN w:val="0"/>
      <w:adjustRightInd w:val="0"/>
    </w:pPr>
    <w:rPr>
      <w:rFonts w:cs="Calibri"/>
      <w:color w:val="000000"/>
      <w:sz w:val="24"/>
      <w:szCs w:val="24"/>
    </w:rPr>
  </w:style>
  <w:style w:type="table" w:styleId="Tablaconcuadrcula">
    <w:name w:val="Table Grid"/>
    <w:basedOn w:val="Tablanormal"/>
    <w:uiPriority w:val="59"/>
    <w:rsid w:val="0073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2658">
      <w:bodyDiv w:val="1"/>
      <w:marLeft w:val="0"/>
      <w:marRight w:val="0"/>
      <w:marTop w:val="0"/>
      <w:marBottom w:val="0"/>
      <w:divBdr>
        <w:top w:val="none" w:sz="0" w:space="0" w:color="auto"/>
        <w:left w:val="none" w:sz="0" w:space="0" w:color="auto"/>
        <w:bottom w:val="none" w:sz="0" w:space="0" w:color="auto"/>
        <w:right w:val="none" w:sz="0" w:space="0" w:color="auto"/>
      </w:divBdr>
    </w:div>
    <w:div w:id="1673416281">
      <w:bodyDiv w:val="1"/>
      <w:marLeft w:val="0"/>
      <w:marRight w:val="0"/>
      <w:marTop w:val="0"/>
      <w:marBottom w:val="0"/>
      <w:divBdr>
        <w:top w:val="none" w:sz="0" w:space="0" w:color="auto"/>
        <w:left w:val="none" w:sz="0" w:space="0" w:color="auto"/>
        <w:bottom w:val="none" w:sz="0" w:space="0" w:color="auto"/>
        <w:right w:val="none" w:sz="0" w:space="0" w:color="auto"/>
      </w:divBdr>
    </w:div>
    <w:div w:id="18397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C7EB-ACDF-46F3-932E-491C7E90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12</Pages>
  <Words>3101</Words>
  <Characters>17059</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P.Cardona</dc:creator>
  <cp:lastModifiedBy>IRE CONSULTING</cp:lastModifiedBy>
  <cp:revision>19</cp:revision>
  <cp:lastPrinted>2017-05-25T08:37:00Z</cp:lastPrinted>
  <dcterms:created xsi:type="dcterms:W3CDTF">2021-06-18T10:21:00Z</dcterms:created>
  <dcterms:modified xsi:type="dcterms:W3CDTF">2021-07-12T12:45:00Z</dcterms:modified>
</cp:coreProperties>
</file>